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16F3F" w14:textId="0C664676" w:rsidR="00E520DE" w:rsidRDefault="00E520DE" w:rsidP="00E520DE">
      <w:pPr>
        <w:tabs>
          <w:tab w:val="left" w:pos="3420"/>
          <w:tab w:val="left" w:pos="6300"/>
        </w:tabs>
        <w:spacing w:after="720"/>
        <w:ind w:left="6299" w:hanging="6299"/>
      </w:pPr>
      <w:r>
        <w:rPr>
          <w:spacing w:val="60"/>
          <w:kern w:val="40"/>
        </w:rPr>
        <w:t>ARGUMENTATION</w:t>
      </w:r>
      <w:r>
        <w:rPr>
          <w:spacing w:val="60"/>
        </w:rPr>
        <w:tab/>
        <w:t>Nr. 30</w:t>
      </w:r>
      <w:r>
        <w:tab/>
        <w:t>Nur für den Gebrauch in den Mitgliedsverbänden des LSK</w:t>
      </w:r>
    </w:p>
    <w:p w14:paraId="2075AD77" w14:textId="2104DDBA" w:rsidR="00E520DE" w:rsidRDefault="004E708D" w:rsidP="00E520DE">
      <w:pPr>
        <w:autoSpaceDE w:val="0"/>
        <w:autoSpaceDN w:val="0"/>
        <w:adjustRightInd w:val="0"/>
        <w:spacing w:before="480" w:after="120" w:line="240" w:lineRule="auto"/>
        <w:contextualSpacing/>
        <w:jc w:val="center"/>
        <w:rPr>
          <w:rFonts w:ascii="Arial" w:hAnsi="Arial" w:cs="Arial"/>
          <w:b/>
          <w:bCs/>
          <w:color w:val="000000"/>
          <w:sz w:val="24"/>
          <w:szCs w:val="24"/>
          <w:lang w:eastAsia="de-DE"/>
        </w:rPr>
      </w:pPr>
      <w:r w:rsidRPr="004E708D">
        <w:rPr>
          <w:rFonts w:ascii="Arial" w:hAnsi="Arial" w:cs="Arial"/>
          <w:b/>
          <w:bCs/>
          <w:color w:val="000000"/>
          <w:sz w:val="24"/>
          <w:szCs w:val="24"/>
          <w:lang w:eastAsia="de-DE"/>
        </w:rPr>
        <w:t>„</w:t>
      </w:r>
      <w:r w:rsidR="00E520DE" w:rsidRPr="004E708D">
        <w:rPr>
          <w:rFonts w:ascii="Arial" w:hAnsi="Arial" w:cs="Arial"/>
          <w:b/>
          <w:bCs/>
          <w:color w:val="000000"/>
          <w:sz w:val="24"/>
          <w:szCs w:val="24"/>
          <w:lang w:eastAsia="de-DE"/>
        </w:rPr>
        <w:t>Der Verein und die Versicherung</w:t>
      </w:r>
      <w:r w:rsidRPr="004E708D">
        <w:rPr>
          <w:rFonts w:ascii="Arial" w:hAnsi="Arial" w:cs="Arial"/>
          <w:b/>
          <w:bCs/>
          <w:color w:val="000000"/>
          <w:sz w:val="24"/>
          <w:szCs w:val="24"/>
          <w:lang w:eastAsia="de-DE"/>
        </w:rPr>
        <w:t>“</w:t>
      </w:r>
    </w:p>
    <w:p w14:paraId="52BAF393" w14:textId="77777777" w:rsidR="00A51DC6" w:rsidRPr="004E708D" w:rsidRDefault="00A51DC6" w:rsidP="00E520DE">
      <w:pPr>
        <w:autoSpaceDE w:val="0"/>
        <w:autoSpaceDN w:val="0"/>
        <w:adjustRightInd w:val="0"/>
        <w:spacing w:before="480" w:after="120" w:line="240" w:lineRule="auto"/>
        <w:contextualSpacing/>
        <w:jc w:val="center"/>
        <w:rPr>
          <w:rFonts w:ascii="Arial" w:hAnsi="Arial" w:cs="Arial"/>
          <w:b/>
          <w:bCs/>
          <w:color w:val="000000"/>
          <w:sz w:val="24"/>
          <w:szCs w:val="24"/>
          <w:lang w:eastAsia="de-DE"/>
        </w:rPr>
      </w:pPr>
    </w:p>
    <w:p w14:paraId="5D8C5F15" w14:textId="6A53D919" w:rsidR="00E520DE" w:rsidRDefault="004E708D" w:rsidP="00E520DE">
      <w:pPr>
        <w:autoSpaceDE w:val="0"/>
        <w:autoSpaceDN w:val="0"/>
        <w:adjustRightInd w:val="0"/>
        <w:spacing w:before="480" w:after="120" w:line="240" w:lineRule="auto"/>
        <w:contextualSpacing/>
        <w:jc w:val="center"/>
        <w:rPr>
          <w:rFonts w:ascii="Arial" w:hAnsi="Arial" w:cs="Arial"/>
          <w:b/>
          <w:bCs/>
          <w:color w:val="000000"/>
          <w:lang w:eastAsia="de-DE"/>
        </w:rPr>
      </w:pPr>
      <w:r>
        <w:rPr>
          <w:rFonts w:ascii="Arial" w:hAnsi="Arial" w:cs="Arial"/>
          <w:b/>
          <w:bCs/>
          <w:lang w:eastAsia="de-DE"/>
        </w:rPr>
        <w:t xml:space="preserve">Teil III   </w:t>
      </w:r>
      <w:r w:rsidR="00E520DE">
        <w:rPr>
          <w:rFonts w:ascii="Arial" w:hAnsi="Arial" w:cs="Arial"/>
          <w:b/>
          <w:bCs/>
          <w:lang w:eastAsia="de-DE"/>
        </w:rPr>
        <w:t>Rechts</w:t>
      </w:r>
      <w:r w:rsidR="005546E6">
        <w:rPr>
          <w:rFonts w:ascii="Arial" w:hAnsi="Arial" w:cs="Arial"/>
          <w:b/>
          <w:bCs/>
          <w:lang w:eastAsia="de-DE"/>
        </w:rPr>
        <w:t>s</w:t>
      </w:r>
      <w:r w:rsidR="00E520DE">
        <w:rPr>
          <w:rFonts w:ascii="Arial" w:hAnsi="Arial" w:cs="Arial"/>
          <w:b/>
          <w:bCs/>
          <w:lang w:eastAsia="de-DE"/>
        </w:rPr>
        <w:t>chutzversicherung</w:t>
      </w:r>
    </w:p>
    <w:p w14:paraId="6D2892F3" w14:textId="77777777" w:rsidR="00E520DE" w:rsidRDefault="00E520DE" w:rsidP="00E520DE">
      <w:pPr>
        <w:autoSpaceDE w:val="0"/>
        <w:autoSpaceDN w:val="0"/>
        <w:adjustRightInd w:val="0"/>
        <w:spacing w:after="0" w:line="240" w:lineRule="auto"/>
        <w:jc w:val="center"/>
        <w:rPr>
          <w:rFonts w:ascii="Arial" w:hAnsi="Arial" w:cs="Arial"/>
          <w:b/>
          <w:bCs/>
          <w:color w:val="000000"/>
          <w:lang w:eastAsia="de-DE"/>
        </w:rPr>
      </w:pPr>
    </w:p>
    <w:p w14:paraId="6033344F" w14:textId="7D8B5601" w:rsidR="00D81435" w:rsidRPr="00E520DE" w:rsidRDefault="00E520DE" w:rsidP="00E520DE">
      <w:pPr>
        <w:tabs>
          <w:tab w:val="left" w:leader="hyphen" w:pos="9180"/>
        </w:tabs>
        <w:spacing w:after="360"/>
      </w:pPr>
      <w:r>
        <w:tab/>
      </w:r>
    </w:p>
    <w:p w14:paraId="276A96F0" w14:textId="77777777" w:rsidR="00D81435" w:rsidRPr="006A3DF0" w:rsidRDefault="00D81435" w:rsidP="00915E23">
      <w:pPr>
        <w:autoSpaceDE w:val="0"/>
        <w:autoSpaceDN w:val="0"/>
        <w:adjustRightInd w:val="0"/>
        <w:spacing w:after="0" w:line="240" w:lineRule="auto"/>
        <w:jc w:val="both"/>
        <w:rPr>
          <w:rFonts w:ascii="Arial" w:hAnsi="Arial" w:cs="Arial"/>
          <w:lang w:eastAsia="de-DE"/>
        </w:rPr>
      </w:pPr>
      <w:r w:rsidRPr="006A3DF0">
        <w:rPr>
          <w:rFonts w:ascii="Arial" w:hAnsi="Arial" w:cs="Arial"/>
          <w:lang w:eastAsia="de-DE"/>
        </w:rPr>
        <w:t>Ein Verein hat in der heutigen Zeit eine Vielzahl von Rechtsbeziehungen. Oft ergeben sich daraus Streitigkeiten, die schnell vor Gericht landen. Hier können dann die Kosten und Gebühren eines Rechtsanwaltes oder eines verlorenen Prozesses die Vereinskasse stark belasten. Um dem zu begegnen, gibt der LSK seinen Mitgliedern die Möglichkeit, über ihn ein auf die Bedürfnisse von Kleingärtnerverbänden und -vereinen zugeschnittenes Rechtsschutz-Konzept abzuschließen.</w:t>
      </w:r>
    </w:p>
    <w:p w14:paraId="3F2D3FAB" w14:textId="77777777" w:rsidR="00D81435" w:rsidRPr="006A3DF0" w:rsidRDefault="00D81435" w:rsidP="00915E23">
      <w:pPr>
        <w:autoSpaceDE w:val="0"/>
        <w:autoSpaceDN w:val="0"/>
        <w:adjustRightInd w:val="0"/>
        <w:spacing w:before="120" w:after="120" w:line="240" w:lineRule="auto"/>
        <w:jc w:val="both"/>
        <w:rPr>
          <w:rFonts w:ascii="Arial" w:hAnsi="Arial" w:cs="Arial"/>
          <w:lang w:eastAsia="de-DE"/>
        </w:rPr>
      </w:pPr>
      <w:r w:rsidRPr="006A3DF0">
        <w:rPr>
          <w:rFonts w:ascii="Arial" w:hAnsi="Arial" w:cs="Arial"/>
          <w:lang w:eastAsia="de-DE"/>
        </w:rPr>
        <w:t>Es umfasst die Leistungsarten</w:t>
      </w:r>
    </w:p>
    <w:p w14:paraId="45F04BBA" w14:textId="77777777" w:rsidR="00D81435" w:rsidRPr="006A3DF0" w:rsidRDefault="00D81435" w:rsidP="00915E23">
      <w:pPr>
        <w:numPr>
          <w:ilvl w:val="0"/>
          <w:numId w:val="5"/>
        </w:numPr>
        <w:autoSpaceDE w:val="0"/>
        <w:autoSpaceDN w:val="0"/>
        <w:adjustRightInd w:val="0"/>
        <w:spacing w:after="0" w:line="240" w:lineRule="auto"/>
        <w:jc w:val="both"/>
        <w:rPr>
          <w:rFonts w:ascii="Arial" w:hAnsi="Arial" w:cs="Arial"/>
          <w:lang w:eastAsia="de-DE"/>
        </w:rPr>
      </w:pPr>
      <w:r w:rsidRPr="006A3DF0">
        <w:rPr>
          <w:rFonts w:ascii="Arial" w:hAnsi="Arial" w:cs="Arial"/>
          <w:lang w:eastAsia="de-DE"/>
        </w:rPr>
        <w:t>Schadenersatz-Rechtsschutz</w:t>
      </w:r>
    </w:p>
    <w:p w14:paraId="2E95F8C9" w14:textId="77777777" w:rsidR="00D81435" w:rsidRPr="006A3DF0" w:rsidRDefault="00D81435" w:rsidP="00915E23">
      <w:pPr>
        <w:numPr>
          <w:ilvl w:val="0"/>
          <w:numId w:val="5"/>
        </w:numPr>
        <w:autoSpaceDE w:val="0"/>
        <w:autoSpaceDN w:val="0"/>
        <w:adjustRightInd w:val="0"/>
        <w:spacing w:after="0" w:line="240" w:lineRule="auto"/>
        <w:jc w:val="both"/>
        <w:rPr>
          <w:rFonts w:ascii="Arial" w:hAnsi="Arial" w:cs="Arial"/>
          <w:lang w:eastAsia="de-DE"/>
        </w:rPr>
      </w:pPr>
      <w:r w:rsidRPr="006A3DF0">
        <w:rPr>
          <w:rFonts w:ascii="Arial" w:hAnsi="Arial" w:cs="Arial"/>
          <w:lang w:eastAsia="de-DE"/>
        </w:rPr>
        <w:t>Straf-/Ordnungswidrigkeiten-Rechtsschutz</w:t>
      </w:r>
    </w:p>
    <w:p w14:paraId="4A76052B" w14:textId="77777777" w:rsidR="00D81435" w:rsidRPr="006A3DF0" w:rsidRDefault="00D81435" w:rsidP="00915E23">
      <w:pPr>
        <w:numPr>
          <w:ilvl w:val="0"/>
          <w:numId w:val="5"/>
        </w:numPr>
        <w:autoSpaceDE w:val="0"/>
        <w:autoSpaceDN w:val="0"/>
        <w:adjustRightInd w:val="0"/>
        <w:spacing w:after="0" w:line="240" w:lineRule="auto"/>
        <w:jc w:val="both"/>
        <w:rPr>
          <w:rFonts w:ascii="Arial" w:hAnsi="Arial" w:cs="Arial"/>
          <w:lang w:eastAsia="de-DE"/>
        </w:rPr>
      </w:pPr>
      <w:r w:rsidRPr="006A3DF0">
        <w:rPr>
          <w:rFonts w:ascii="Arial" w:hAnsi="Arial" w:cs="Arial"/>
          <w:lang w:eastAsia="de-DE"/>
        </w:rPr>
        <w:t>Arbeits-Rechtsschutz</w:t>
      </w:r>
    </w:p>
    <w:p w14:paraId="2CB12DC5" w14:textId="77777777" w:rsidR="00D81435" w:rsidRPr="006A3DF0" w:rsidRDefault="00D81435" w:rsidP="00915E23">
      <w:pPr>
        <w:numPr>
          <w:ilvl w:val="0"/>
          <w:numId w:val="5"/>
        </w:numPr>
        <w:autoSpaceDE w:val="0"/>
        <w:autoSpaceDN w:val="0"/>
        <w:adjustRightInd w:val="0"/>
        <w:spacing w:after="0" w:line="240" w:lineRule="auto"/>
        <w:jc w:val="both"/>
        <w:rPr>
          <w:rFonts w:ascii="Arial" w:hAnsi="Arial" w:cs="Arial"/>
          <w:lang w:eastAsia="de-DE"/>
        </w:rPr>
      </w:pPr>
      <w:r w:rsidRPr="006A3DF0">
        <w:rPr>
          <w:rFonts w:ascii="Arial" w:hAnsi="Arial" w:cs="Arial"/>
          <w:lang w:eastAsia="de-DE"/>
        </w:rPr>
        <w:t>Steuer-Rechtsschutz vor deutschen Finanz- und Verwaltungsgerichten</w:t>
      </w:r>
    </w:p>
    <w:p w14:paraId="2435AEAB" w14:textId="77777777" w:rsidR="00D81435" w:rsidRPr="006A3DF0" w:rsidRDefault="00D81435" w:rsidP="00915E23">
      <w:pPr>
        <w:numPr>
          <w:ilvl w:val="0"/>
          <w:numId w:val="5"/>
        </w:numPr>
        <w:autoSpaceDE w:val="0"/>
        <w:autoSpaceDN w:val="0"/>
        <w:adjustRightInd w:val="0"/>
        <w:spacing w:after="0" w:line="240" w:lineRule="auto"/>
        <w:jc w:val="both"/>
        <w:rPr>
          <w:rFonts w:ascii="Arial" w:hAnsi="Arial" w:cs="Arial"/>
          <w:lang w:eastAsia="de-DE"/>
        </w:rPr>
      </w:pPr>
      <w:r w:rsidRPr="006A3DF0">
        <w:rPr>
          <w:rFonts w:ascii="Arial" w:hAnsi="Arial" w:cs="Arial"/>
          <w:lang w:eastAsia="de-DE"/>
        </w:rPr>
        <w:t>Sozialgerichts-Rechtsschutz vor Sozialgerichten</w:t>
      </w:r>
    </w:p>
    <w:p w14:paraId="3A7A9044" w14:textId="77777777" w:rsidR="00D81435" w:rsidRPr="006A3DF0" w:rsidRDefault="00D81435" w:rsidP="00915E23">
      <w:pPr>
        <w:numPr>
          <w:ilvl w:val="0"/>
          <w:numId w:val="5"/>
        </w:numPr>
        <w:autoSpaceDE w:val="0"/>
        <w:autoSpaceDN w:val="0"/>
        <w:adjustRightInd w:val="0"/>
        <w:spacing w:after="0" w:line="240" w:lineRule="auto"/>
        <w:jc w:val="both"/>
        <w:rPr>
          <w:rFonts w:ascii="Arial" w:hAnsi="Arial" w:cs="Arial"/>
          <w:lang w:eastAsia="de-DE"/>
        </w:rPr>
      </w:pPr>
      <w:r w:rsidRPr="006A3DF0">
        <w:rPr>
          <w:rFonts w:ascii="Arial" w:hAnsi="Arial" w:cs="Arial"/>
          <w:lang w:eastAsia="de-DE"/>
        </w:rPr>
        <w:t>Grundstücks-Rechtsschutz für den Verein als Grundstückspächter und -verpächter</w:t>
      </w:r>
    </w:p>
    <w:p w14:paraId="0AFD58BF" w14:textId="77777777" w:rsidR="00D81435" w:rsidRPr="006A3DF0" w:rsidRDefault="00D81435" w:rsidP="00915E23">
      <w:pPr>
        <w:autoSpaceDE w:val="0"/>
        <w:autoSpaceDN w:val="0"/>
        <w:adjustRightInd w:val="0"/>
        <w:spacing w:before="120" w:after="0" w:line="240" w:lineRule="auto"/>
        <w:jc w:val="both"/>
        <w:rPr>
          <w:rFonts w:ascii="Arial" w:hAnsi="Arial" w:cs="Arial"/>
          <w:lang w:eastAsia="de-DE"/>
        </w:rPr>
      </w:pPr>
      <w:r w:rsidRPr="006A3DF0">
        <w:rPr>
          <w:rFonts w:ascii="Arial" w:hAnsi="Arial" w:cs="Arial"/>
          <w:lang w:eastAsia="de-DE"/>
        </w:rPr>
        <w:t>Versichert sind bei Eintritt eines Rechtsschutzfalles die gesetzlich festgeschriebenen Vorschüsse, Gebühren und Auslagen für</w:t>
      </w:r>
    </w:p>
    <w:p w14:paraId="34425B46" w14:textId="77777777" w:rsidR="00D81435" w:rsidRPr="006A3DF0" w:rsidRDefault="00D81435" w:rsidP="00915E23">
      <w:pPr>
        <w:numPr>
          <w:ilvl w:val="0"/>
          <w:numId w:val="6"/>
        </w:numPr>
        <w:autoSpaceDE w:val="0"/>
        <w:autoSpaceDN w:val="0"/>
        <w:adjustRightInd w:val="0"/>
        <w:spacing w:after="0" w:line="240" w:lineRule="auto"/>
        <w:jc w:val="both"/>
        <w:rPr>
          <w:rFonts w:ascii="Arial" w:hAnsi="Arial" w:cs="Arial"/>
          <w:lang w:eastAsia="de-DE"/>
        </w:rPr>
      </w:pPr>
      <w:r w:rsidRPr="006A3DF0">
        <w:rPr>
          <w:rFonts w:ascii="Arial" w:hAnsi="Arial" w:cs="Arial"/>
          <w:lang w:eastAsia="de-DE"/>
        </w:rPr>
        <w:t>einen frei gewählten Rechtsanwalt</w:t>
      </w:r>
    </w:p>
    <w:p w14:paraId="70B455A2" w14:textId="77777777" w:rsidR="00D81435" w:rsidRPr="006A3DF0" w:rsidRDefault="00D81435" w:rsidP="00915E23">
      <w:pPr>
        <w:numPr>
          <w:ilvl w:val="0"/>
          <w:numId w:val="6"/>
        </w:numPr>
        <w:autoSpaceDE w:val="0"/>
        <w:autoSpaceDN w:val="0"/>
        <w:adjustRightInd w:val="0"/>
        <w:spacing w:after="0" w:line="240" w:lineRule="auto"/>
        <w:jc w:val="both"/>
        <w:rPr>
          <w:rFonts w:ascii="Arial" w:hAnsi="Arial" w:cs="Arial"/>
          <w:lang w:eastAsia="de-DE"/>
        </w:rPr>
      </w:pPr>
      <w:r w:rsidRPr="006A3DF0">
        <w:rPr>
          <w:rFonts w:ascii="Arial" w:hAnsi="Arial" w:cs="Arial"/>
          <w:lang w:eastAsia="de-DE"/>
        </w:rPr>
        <w:t>Gerichte und Gerichtsvollzieher</w:t>
      </w:r>
    </w:p>
    <w:p w14:paraId="51461373" w14:textId="77777777" w:rsidR="00D81435" w:rsidRPr="006A3DF0" w:rsidRDefault="00D81435" w:rsidP="00915E23">
      <w:pPr>
        <w:numPr>
          <w:ilvl w:val="0"/>
          <w:numId w:val="6"/>
        </w:numPr>
        <w:autoSpaceDE w:val="0"/>
        <w:autoSpaceDN w:val="0"/>
        <w:adjustRightInd w:val="0"/>
        <w:spacing w:after="0" w:line="240" w:lineRule="auto"/>
        <w:jc w:val="both"/>
        <w:rPr>
          <w:rFonts w:ascii="Arial" w:hAnsi="Arial" w:cs="Arial"/>
          <w:lang w:eastAsia="de-DE"/>
        </w:rPr>
      </w:pPr>
      <w:r w:rsidRPr="006A3DF0">
        <w:rPr>
          <w:rFonts w:ascii="Arial" w:hAnsi="Arial" w:cs="Arial"/>
          <w:lang w:eastAsia="de-DE"/>
        </w:rPr>
        <w:t>vom Gericht bestellte Zeugen und Sachverständige</w:t>
      </w:r>
    </w:p>
    <w:p w14:paraId="0864F653" w14:textId="77777777" w:rsidR="00D81435" w:rsidRPr="006A3DF0" w:rsidRDefault="00D81435" w:rsidP="00915E23">
      <w:pPr>
        <w:numPr>
          <w:ilvl w:val="0"/>
          <w:numId w:val="6"/>
        </w:numPr>
        <w:autoSpaceDE w:val="0"/>
        <w:autoSpaceDN w:val="0"/>
        <w:adjustRightInd w:val="0"/>
        <w:spacing w:after="0" w:line="240" w:lineRule="auto"/>
        <w:jc w:val="both"/>
        <w:rPr>
          <w:rFonts w:ascii="Arial" w:hAnsi="Arial" w:cs="Arial"/>
          <w:lang w:eastAsia="de-DE"/>
        </w:rPr>
      </w:pPr>
      <w:r w:rsidRPr="006A3DF0">
        <w:rPr>
          <w:rFonts w:ascii="Arial" w:hAnsi="Arial" w:cs="Arial"/>
          <w:lang w:eastAsia="de-DE"/>
        </w:rPr>
        <w:t>die Gegenseite, soweit sie zu erstatten sind</w:t>
      </w:r>
    </w:p>
    <w:p w14:paraId="244A95F0" w14:textId="77777777" w:rsidR="00D81435" w:rsidRPr="006A3DF0" w:rsidRDefault="00D81435" w:rsidP="00915E23">
      <w:pPr>
        <w:numPr>
          <w:ilvl w:val="0"/>
          <w:numId w:val="6"/>
        </w:numPr>
        <w:autoSpaceDE w:val="0"/>
        <w:autoSpaceDN w:val="0"/>
        <w:adjustRightInd w:val="0"/>
        <w:spacing w:after="0" w:line="240" w:lineRule="auto"/>
        <w:jc w:val="both"/>
        <w:rPr>
          <w:rFonts w:ascii="Arial" w:hAnsi="Arial" w:cs="Arial"/>
          <w:lang w:eastAsia="de-DE"/>
        </w:rPr>
      </w:pPr>
      <w:r w:rsidRPr="006A3DF0">
        <w:rPr>
          <w:rFonts w:ascii="Arial" w:hAnsi="Arial" w:cs="Arial"/>
          <w:lang w:eastAsia="de-DE"/>
        </w:rPr>
        <w:t>drei Anträge zur Durchführung oder Abwehr von Vollstreckungsmaßnahmen je Vollstreckungstitel</w:t>
      </w:r>
    </w:p>
    <w:p w14:paraId="5C66CC1D" w14:textId="77777777" w:rsidR="00D81435" w:rsidRPr="006A3DF0" w:rsidRDefault="00D81435" w:rsidP="00915E23">
      <w:pPr>
        <w:numPr>
          <w:ilvl w:val="0"/>
          <w:numId w:val="6"/>
        </w:numPr>
        <w:autoSpaceDE w:val="0"/>
        <w:autoSpaceDN w:val="0"/>
        <w:adjustRightInd w:val="0"/>
        <w:spacing w:after="0" w:line="240" w:lineRule="auto"/>
        <w:jc w:val="both"/>
        <w:rPr>
          <w:rFonts w:ascii="Arial" w:hAnsi="Arial" w:cs="Arial"/>
          <w:lang w:eastAsia="de-DE"/>
        </w:rPr>
      </w:pPr>
      <w:r w:rsidRPr="006A3DF0">
        <w:rPr>
          <w:rFonts w:ascii="Arial" w:hAnsi="Arial" w:cs="Arial"/>
          <w:lang w:eastAsia="de-DE"/>
        </w:rPr>
        <w:t>Grundstücks-Rechtsschutz für den Verein als Grundstückspächter und -verpächter</w:t>
      </w:r>
    </w:p>
    <w:p w14:paraId="6EB149A7" w14:textId="77777777" w:rsidR="00D81435" w:rsidRPr="006A3DF0" w:rsidRDefault="00D81435" w:rsidP="00915E23">
      <w:pPr>
        <w:autoSpaceDE w:val="0"/>
        <w:autoSpaceDN w:val="0"/>
        <w:adjustRightInd w:val="0"/>
        <w:spacing w:before="120" w:after="0" w:line="240" w:lineRule="auto"/>
        <w:jc w:val="both"/>
        <w:rPr>
          <w:rFonts w:ascii="Arial" w:hAnsi="Arial" w:cs="Arial"/>
          <w:lang w:eastAsia="de-DE"/>
        </w:rPr>
      </w:pPr>
      <w:r w:rsidRPr="006A3DF0">
        <w:rPr>
          <w:rFonts w:ascii="Arial" w:hAnsi="Arial" w:cs="Arial"/>
          <w:lang w:eastAsia="de-DE"/>
        </w:rPr>
        <w:t>Grundsätzlich besteht Anspruch auf Rechtsschutz nach Eintritt eines Rechtsschutzfalles von dem Zeitpunkt an, in dem der Versicherungsnehmer oder ein anderer einen Verstoß gegen Rechtspflichten begangen hat oder begangen haben soll. Diese Voraussetzungen müssen nach Beginn des Versicherungsschutzes und vor dessen Beendigung eingetreten sein. Für vertragliche Ansprüche gilt darüber hinaus bedingungsgemäß eine 3-monatige Wartezeit ab Beginn des Versicherungsschutzes. Daher sind Kosten für einen Rechtsstreit nicht versichert, wenn z. B. die Kündigung eines Unterpachtvertrages vor Abschluss der Versicherung ausgesprochen wurde und der Pächter sich wegen eines Formfehlers der Kündigung vor Gericht wirksam wehrt. Hier fallen neben den Kosten und Gebühren des eigenen Anwaltes auch diejenigen des Gerichts und Rechtsanwaltes des obsiegenden Pächters an. Man ist gut beraten, bevor man einen Rechtsanwalt einschaltet, sich bei der zuständigen Schadenabteilung die „Deckungszusage“ für den Schadenfall einzuholen und auch gezielt nachzufragen, was in welcher Höhe erstattet wird. Es ist zu beachten, dass reine Beratungskosten eines Rechtsanwaltes – also, ohne dass ein Rechtsschutzfall vorliegt – nicht versichert sind.</w:t>
      </w:r>
    </w:p>
    <w:p w14:paraId="226372B2" w14:textId="77777777" w:rsidR="00B57372" w:rsidRPr="00915E23" w:rsidRDefault="00B57372" w:rsidP="00915E23">
      <w:pPr>
        <w:autoSpaceDE w:val="0"/>
        <w:autoSpaceDN w:val="0"/>
        <w:adjustRightInd w:val="0"/>
        <w:spacing w:before="240" w:after="120" w:line="240" w:lineRule="auto"/>
        <w:jc w:val="both"/>
        <w:rPr>
          <w:rFonts w:ascii="Arial" w:hAnsi="Arial" w:cs="Arial"/>
          <w:b/>
          <w:bCs/>
          <w:color w:val="000000"/>
          <w:lang w:eastAsia="de-DE"/>
        </w:rPr>
      </w:pPr>
    </w:p>
    <w:p w14:paraId="36F8922D" w14:textId="69DEE01C" w:rsidR="004E708D" w:rsidRDefault="004E708D" w:rsidP="00915E23">
      <w:pPr>
        <w:contextualSpacing/>
        <w:jc w:val="both"/>
        <w:rPr>
          <w:rFonts w:ascii="Arial" w:hAnsi="Arial" w:cs="Arial"/>
        </w:rPr>
      </w:pPr>
      <w:r>
        <w:rPr>
          <w:rFonts w:ascii="Arial" w:hAnsi="Arial" w:cs="Arial"/>
        </w:rPr>
        <w:t>Arbeitsgruppe Recht des LSK</w:t>
      </w:r>
    </w:p>
    <w:p w14:paraId="7266B7BF" w14:textId="5ECA9DA1" w:rsidR="004E708D" w:rsidRPr="00915E23" w:rsidRDefault="004E708D" w:rsidP="00915E23">
      <w:pPr>
        <w:contextualSpacing/>
        <w:jc w:val="both"/>
        <w:rPr>
          <w:rFonts w:ascii="Arial" w:hAnsi="Arial" w:cs="Arial"/>
        </w:rPr>
      </w:pPr>
      <w:r>
        <w:rPr>
          <w:rFonts w:ascii="Arial" w:hAnsi="Arial" w:cs="Arial"/>
        </w:rPr>
        <w:t>September 2022</w:t>
      </w:r>
    </w:p>
    <w:sectPr w:rsidR="004E708D" w:rsidRPr="00915E23" w:rsidSect="004E708D">
      <w:headerReference w:type="default" r:id="rId7"/>
      <w:pgSz w:w="11906" w:h="16838"/>
      <w:pgMar w:top="1304"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A98D5" w14:textId="77777777" w:rsidR="004E708D" w:rsidRDefault="004E708D" w:rsidP="004E708D">
      <w:pPr>
        <w:spacing w:after="0" w:line="240" w:lineRule="auto"/>
      </w:pPr>
      <w:r>
        <w:separator/>
      </w:r>
    </w:p>
  </w:endnote>
  <w:endnote w:type="continuationSeparator" w:id="0">
    <w:p w14:paraId="6F0B4D36" w14:textId="77777777" w:rsidR="004E708D" w:rsidRDefault="004E708D" w:rsidP="004E7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095B7" w14:textId="77777777" w:rsidR="004E708D" w:rsidRDefault="004E708D" w:rsidP="004E708D">
      <w:pPr>
        <w:spacing w:after="0" w:line="240" w:lineRule="auto"/>
      </w:pPr>
      <w:r>
        <w:separator/>
      </w:r>
    </w:p>
  </w:footnote>
  <w:footnote w:type="continuationSeparator" w:id="0">
    <w:p w14:paraId="1FBB95EB" w14:textId="77777777" w:rsidR="004E708D" w:rsidRDefault="004E708D" w:rsidP="004E70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FD757" w14:textId="01BB662F" w:rsidR="004E708D" w:rsidRDefault="004E708D" w:rsidP="004E708D">
    <w:pPr>
      <w:pStyle w:val="Kopfzeile"/>
      <w:jc w:val="right"/>
    </w:pPr>
    <w:r>
      <w:t>Teil V Argumentation 30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5370F"/>
    <w:multiLevelType w:val="hybridMultilevel"/>
    <w:tmpl w:val="05EA472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F5D1AAB"/>
    <w:multiLevelType w:val="hybridMultilevel"/>
    <w:tmpl w:val="6CECFFA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77B5285"/>
    <w:multiLevelType w:val="hybridMultilevel"/>
    <w:tmpl w:val="DBE6C8D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E21675E"/>
    <w:multiLevelType w:val="hybridMultilevel"/>
    <w:tmpl w:val="9A44BAF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325525CE"/>
    <w:multiLevelType w:val="hybridMultilevel"/>
    <w:tmpl w:val="2278DB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35484CC2"/>
    <w:multiLevelType w:val="hybridMultilevel"/>
    <w:tmpl w:val="D5EA2F3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376727EC"/>
    <w:multiLevelType w:val="hybridMultilevel"/>
    <w:tmpl w:val="5FA6F2F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4888486A"/>
    <w:multiLevelType w:val="hybridMultilevel"/>
    <w:tmpl w:val="A10A8A6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62F11168"/>
    <w:multiLevelType w:val="hybridMultilevel"/>
    <w:tmpl w:val="FB5E01A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68C35542"/>
    <w:multiLevelType w:val="hybridMultilevel"/>
    <w:tmpl w:val="F7A6293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71D54374"/>
    <w:multiLevelType w:val="hybridMultilevel"/>
    <w:tmpl w:val="0874854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78397F22"/>
    <w:multiLevelType w:val="hybridMultilevel"/>
    <w:tmpl w:val="FDB6DB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7FDC7D11"/>
    <w:multiLevelType w:val="hybridMultilevel"/>
    <w:tmpl w:val="7BCE32A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935357099">
    <w:abstractNumId w:val="8"/>
  </w:num>
  <w:num w:numId="2" w16cid:durableId="28459559">
    <w:abstractNumId w:val="7"/>
  </w:num>
  <w:num w:numId="3" w16cid:durableId="741490244">
    <w:abstractNumId w:val="9"/>
  </w:num>
  <w:num w:numId="4" w16cid:durableId="336153005">
    <w:abstractNumId w:val="6"/>
  </w:num>
  <w:num w:numId="5" w16cid:durableId="1873836355">
    <w:abstractNumId w:val="11"/>
  </w:num>
  <w:num w:numId="6" w16cid:durableId="846868483">
    <w:abstractNumId w:val="1"/>
  </w:num>
  <w:num w:numId="7" w16cid:durableId="29309413">
    <w:abstractNumId w:val="5"/>
  </w:num>
  <w:num w:numId="8" w16cid:durableId="1925408991">
    <w:abstractNumId w:val="3"/>
  </w:num>
  <w:num w:numId="9" w16cid:durableId="755789296">
    <w:abstractNumId w:val="2"/>
  </w:num>
  <w:num w:numId="10" w16cid:durableId="2137676278">
    <w:abstractNumId w:val="12"/>
  </w:num>
  <w:num w:numId="11" w16cid:durableId="331177716">
    <w:abstractNumId w:val="4"/>
  </w:num>
  <w:num w:numId="12" w16cid:durableId="1859465643">
    <w:abstractNumId w:val="10"/>
  </w:num>
  <w:num w:numId="13" w16cid:durableId="1554805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435"/>
    <w:rsid w:val="000C4AB3"/>
    <w:rsid w:val="0012378D"/>
    <w:rsid w:val="004E708D"/>
    <w:rsid w:val="00550388"/>
    <w:rsid w:val="005546E6"/>
    <w:rsid w:val="006A3DF0"/>
    <w:rsid w:val="008C2809"/>
    <w:rsid w:val="00915E23"/>
    <w:rsid w:val="00A478B9"/>
    <w:rsid w:val="00A51DC6"/>
    <w:rsid w:val="00B57372"/>
    <w:rsid w:val="00C23F56"/>
    <w:rsid w:val="00C72898"/>
    <w:rsid w:val="00D81435"/>
    <w:rsid w:val="00E520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0E5D5"/>
  <w15:chartTrackingRefBased/>
  <w15:docId w15:val="{07A682C7-483C-4105-9A16-4611D65DD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81435"/>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C280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C2809"/>
    <w:rPr>
      <w:rFonts w:ascii="Segoe UI" w:eastAsia="Calibri" w:hAnsi="Segoe UI" w:cs="Segoe UI"/>
      <w:sz w:val="18"/>
      <w:szCs w:val="18"/>
    </w:rPr>
  </w:style>
  <w:style w:type="paragraph" w:styleId="Kopfzeile">
    <w:name w:val="header"/>
    <w:basedOn w:val="Standard"/>
    <w:link w:val="KopfzeileZchn"/>
    <w:uiPriority w:val="99"/>
    <w:unhideWhenUsed/>
    <w:rsid w:val="004E708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E708D"/>
    <w:rPr>
      <w:rFonts w:ascii="Calibri" w:eastAsia="Calibri" w:hAnsi="Calibri" w:cs="Times New Roman"/>
    </w:rPr>
  </w:style>
  <w:style w:type="paragraph" w:styleId="Fuzeile">
    <w:name w:val="footer"/>
    <w:basedOn w:val="Standard"/>
    <w:link w:val="FuzeileZchn"/>
    <w:uiPriority w:val="99"/>
    <w:unhideWhenUsed/>
    <w:rsid w:val="004E708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E708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26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Words>
  <Characters>2288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Robby Müller - Stadtverband Leipzig der Kleingärtner e.V.</dc:creator>
  <cp:keywords/>
  <dc:description/>
  <cp:lastModifiedBy>Gisela Ringel</cp:lastModifiedBy>
  <cp:revision>2</cp:revision>
  <cp:lastPrinted>2022-09-29T06:26:00Z</cp:lastPrinted>
  <dcterms:created xsi:type="dcterms:W3CDTF">2022-09-29T06:26:00Z</dcterms:created>
  <dcterms:modified xsi:type="dcterms:W3CDTF">2022-09-29T06:26:00Z</dcterms:modified>
</cp:coreProperties>
</file>