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1DAC" w14:textId="77777777" w:rsidR="00F527DB" w:rsidRPr="00B16A5B" w:rsidRDefault="00F63AD0" w:rsidP="00F527DB">
      <w:pPr>
        <w:tabs>
          <w:tab w:val="left" w:pos="3420"/>
          <w:tab w:val="left" w:pos="6300"/>
        </w:tabs>
        <w:spacing w:line="300" w:lineRule="auto"/>
        <w:rPr>
          <w:color w:val="000000" w:themeColor="text1"/>
          <w:sz w:val="22"/>
          <w:szCs w:val="22"/>
        </w:rPr>
      </w:pPr>
      <w:r w:rsidRPr="00B16A5B">
        <w:rPr>
          <w:color w:val="000000" w:themeColor="text1"/>
          <w:spacing w:val="60"/>
          <w:kern w:val="40"/>
          <w:sz w:val="22"/>
          <w:szCs w:val="22"/>
        </w:rPr>
        <w:t>ARGUMENTATION</w:t>
      </w:r>
      <w:r w:rsidRPr="00B16A5B">
        <w:rPr>
          <w:color w:val="000000" w:themeColor="text1"/>
          <w:spacing w:val="60"/>
          <w:sz w:val="22"/>
          <w:szCs w:val="22"/>
        </w:rPr>
        <w:tab/>
        <w:t>Nr. 15</w:t>
      </w:r>
      <w:r w:rsidRPr="00B16A5B">
        <w:rPr>
          <w:color w:val="000000" w:themeColor="text1"/>
          <w:sz w:val="22"/>
          <w:szCs w:val="22"/>
        </w:rPr>
        <w:tab/>
        <w:t xml:space="preserve">Nur für den Gebrauch in den </w:t>
      </w:r>
    </w:p>
    <w:p w14:paraId="0898686C" w14:textId="19FB8737" w:rsidR="00F63AD0" w:rsidRPr="00B16A5B" w:rsidRDefault="00F527DB" w:rsidP="00F527DB">
      <w:pPr>
        <w:tabs>
          <w:tab w:val="left" w:pos="3420"/>
          <w:tab w:val="left" w:pos="6300"/>
        </w:tabs>
        <w:spacing w:line="300" w:lineRule="auto"/>
        <w:rPr>
          <w:color w:val="000000" w:themeColor="text1"/>
          <w:sz w:val="22"/>
          <w:szCs w:val="22"/>
        </w:rPr>
      </w:pPr>
      <w:r w:rsidRPr="00B16A5B">
        <w:rPr>
          <w:color w:val="000000" w:themeColor="text1"/>
          <w:sz w:val="22"/>
          <w:szCs w:val="22"/>
        </w:rPr>
        <w:tab/>
      </w:r>
      <w:r w:rsidRPr="00B16A5B">
        <w:rPr>
          <w:color w:val="000000" w:themeColor="text1"/>
          <w:sz w:val="22"/>
          <w:szCs w:val="22"/>
        </w:rPr>
        <w:tab/>
      </w:r>
      <w:r w:rsidR="00F63AD0" w:rsidRPr="00B16A5B">
        <w:rPr>
          <w:color w:val="000000" w:themeColor="text1"/>
          <w:sz w:val="22"/>
          <w:szCs w:val="22"/>
        </w:rPr>
        <w:t>Mitgliedsverbänden des LSK</w:t>
      </w:r>
    </w:p>
    <w:p w14:paraId="59EABEA4" w14:textId="77777777" w:rsidR="009A7916" w:rsidRPr="00B16A5B" w:rsidRDefault="009A7916" w:rsidP="009A7916">
      <w:pPr>
        <w:tabs>
          <w:tab w:val="left" w:pos="3420"/>
          <w:tab w:val="left" w:pos="6300"/>
        </w:tabs>
        <w:spacing w:line="300" w:lineRule="auto"/>
        <w:ind w:left="709" w:hanging="709"/>
        <w:rPr>
          <w:color w:val="000000" w:themeColor="text1"/>
          <w:sz w:val="22"/>
          <w:szCs w:val="22"/>
        </w:rPr>
      </w:pPr>
    </w:p>
    <w:p w14:paraId="1DA07764" w14:textId="77777777" w:rsidR="00F63AD0" w:rsidRPr="00B16A5B" w:rsidRDefault="00C65A09" w:rsidP="009A7916">
      <w:pPr>
        <w:spacing w:line="300" w:lineRule="auto"/>
        <w:ind w:left="709" w:hanging="709"/>
        <w:jc w:val="center"/>
        <w:rPr>
          <w:b/>
          <w:color w:val="000000" w:themeColor="text1"/>
          <w:sz w:val="22"/>
          <w:szCs w:val="22"/>
        </w:rPr>
      </w:pPr>
      <w:r w:rsidRPr="00B16A5B">
        <w:rPr>
          <w:b/>
          <w:color w:val="000000" w:themeColor="text1"/>
          <w:sz w:val="22"/>
          <w:szCs w:val="22"/>
        </w:rPr>
        <w:t>Der Vergleich im Rechtsstreit im Kleingartenwesen</w:t>
      </w:r>
    </w:p>
    <w:p w14:paraId="3010FAB1" w14:textId="77777777" w:rsidR="00F63AD0" w:rsidRPr="00B16A5B" w:rsidRDefault="00F63AD0" w:rsidP="009A7916">
      <w:pPr>
        <w:tabs>
          <w:tab w:val="left" w:leader="hyphen" w:pos="9180"/>
        </w:tabs>
        <w:spacing w:line="300" w:lineRule="auto"/>
        <w:ind w:left="709" w:hanging="709"/>
        <w:rPr>
          <w:color w:val="000000" w:themeColor="text1"/>
          <w:sz w:val="22"/>
          <w:szCs w:val="22"/>
        </w:rPr>
      </w:pPr>
      <w:r w:rsidRPr="00B16A5B">
        <w:rPr>
          <w:color w:val="000000" w:themeColor="text1"/>
          <w:sz w:val="22"/>
          <w:szCs w:val="22"/>
        </w:rPr>
        <w:tab/>
      </w:r>
    </w:p>
    <w:p w14:paraId="166E1718" w14:textId="77777777" w:rsidR="00C65A09" w:rsidRPr="00B16A5B" w:rsidRDefault="00C65A09" w:rsidP="009A7916">
      <w:pPr>
        <w:spacing w:line="300" w:lineRule="auto"/>
        <w:jc w:val="both"/>
        <w:rPr>
          <w:color w:val="000000" w:themeColor="text1"/>
          <w:sz w:val="22"/>
          <w:szCs w:val="22"/>
        </w:rPr>
      </w:pPr>
      <w:r w:rsidRPr="00B16A5B">
        <w:rPr>
          <w:color w:val="000000" w:themeColor="text1"/>
          <w:sz w:val="22"/>
          <w:szCs w:val="22"/>
        </w:rPr>
        <w:t>Kleingärtnerverbände und Kleingärtnervereine sind gelegentlich in Rechtsstreitigkeiten verwickelt. Hierbei bilden sich folgende Schwerpunkte heraus:</w:t>
      </w:r>
    </w:p>
    <w:p w14:paraId="1878AF70" w14:textId="77777777" w:rsidR="00C65A09" w:rsidRPr="00B16A5B" w:rsidRDefault="00C65A09" w:rsidP="009A7916">
      <w:pPr>
        <w:spacing w:line="300" w:lineRule="auto"/>
        <w:ind w:left="709" w:hanging="709"/>
        <w:jc w:val="both"/>
        <w:rPr>
          <w:color w:val="000000" w:themeColor="text1"/>
          <w:sz w:val="22"/>
          <w:szCs w:val="22"/>
        </w:rPr>
      </w:pPr>
    </w:p>
    <w:p w14:paraId="68EF2C9C" w14:textId="77777777" w:rsidR="00C65A09" w:rsidRPr="00B16A5B" w:rsidRDefault="00C65A09"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Rechtsstreit des Verbandes oder des Vereins als Zwischenpächter mit dem Grundstückseigentümer</w:t>
      </w:r>
    </w:p>
    <w:p w14:paraId="3A8F3D1B" w14:textId="77777777" w:rsidR="00C65A09" w:rsidRPr="00B16A5B" w:rsidRDefault="00C65A09"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Rechtsstreit</w:t>
      </w:r>
      <w:r w:rsidR="00EF5160" w:rsidRPr="00B16A5B">
        <w:rPr>
          <w:color w:val="000000" w:themeColor="text1"/>
          <w:sz w:val="22"/>
          <w:szCs w:val="22"/>
        </w:rPr>
        <w:t xml:space="preserve"> des Vereins</w:t>
      </w:r>
      <w:r w:rsidRPr="00B16A5B">
        <w:rPr>
          <w:color w:val="000000" w:themeColor="text1"/>
          <w:sz w:val="22"/>
          <w:szCs w:val="22"/>
        </w:rPr>
        <w:t xml:space="preserve"> mit einem Unterpächter wegen rückständiger Zahlungen</w:t>
      </w:r>
    </w:p>
    <w:p w14:paraId="242805E2" w14:textId="77777777" w:rsidR="00C65A09" w:rsidRPr="00B16A5B" w:rsidRDefault="00C65A09"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Räumungsklage gegen einen Unterpächter nach erfolgter fristloser Kündigung des Unterpachtvertrages, § 8 Nr. 1 Bundeskleingartengesetz</w:t>
      </w:r>
    </w:p>
    <w:p w14:paraId="2E76771C" w14:textId="77777777" w:rsidR="00C65A09" w:rsidRPr="00B16A5B" w:rsidRDefault="00EF5160"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Räumungsklage gegen einen</w:t>
      </w:r>
      <w:r w:rsidR="00C65A09" w:rsidRPr="00B16A5B">
        <w:rPr>
          <w:color w:val="000000" w:themeColor="text1"/>
          <w:sz w:val="22"/>
          <w:szCs w:val="22"/>
        </w:rPr>
        <w:t xml:space="preserve"> Unterpächter nach fristloser Kündigung wegen Unzumutbarkeit der Fortsetzung des Unterpachtverhältnisses</w:t>
      </w:r>
      <w:r w:rsidRPr="00B16A5B">
        <w:rPr>
          <w:color w:val="000000" w:themeColor="text1"/>
          <w:sz w:val="22"/>
          <w:szCs w:val="22"/>
        </w:rPr>
        <w:t>, § 8 Nr. 2 Bundeskleingartengesetz</w:t>
      </w:r>
    </w:p>
    <w:p w14:paraId="11C43601" w14:textId="77777777" w:rsidR="00C65A09" w:rsidRPr="00B16A5B" w:rsidRDefault="00EF5160"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Räumungsklage gegen einen</w:t>
      </w:r>
      <w:r w:rsidR="00C65A09" w:rsidRPr="00B16A5B">
        <w:rPr>
          <w:color w:val="000000" w:themeColor="text1"/>
          <w:sz w:val="22"/>
          <w:szCs w:val="22"/>
        </w:rPr>
        <w:t xml:space="preserve"> Unterpächter nach fristgemäßer Kündigung des Unterpachtvertrages nach – erfolgloser – Abmahnung von Bewirtschaftungsmängeln</w:t>
      </w:r>
      <w:r w:rsidRPr="00B16A5B">
        <w:rPr>
          <w:color w:val="000000" w:themeColor="text1"/>
          <w:sz w:val="22"/>
          <w:szCs w:val="22"/>
        </w:rPr>
        <w:t>, § 9 Abs. 1 Nr. 1 Bundeskleingartengesetz</w:t>
      </w:r>
    </w:p>
    <w:p w14:paraId="2F588D1F" w14:textId="77777777" w:rsidR="00C65A09" w:rsidRPr="00B16A5B" w:rsidRDefault="00C65A09"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Rechtsstreitigkeiten mit Vereinsmitgliedern wegen vereinsrechtlicher Probleme</w:t>
      </w:r>
    </w:p>
    <w:p w14:paraId="732AA00C" w14:textId="77777777" w:rsidR="00C65A09" w:rsidRPr="00B16A5B" w:rsidRDefault="00C65A09" w:rsidP="009A7916">
      <w:pPr>
        <w:spacing w:line="300" w:lineRule="auto"/>
        <w:ind w:left="709" w:hanging="709"/>
        <w:jc w:val="both"/>
        <w:rPr>
          <w:color w:val="000000" w:themeColor="text1"/>
          <w:sz w:val="22"/>
          <w:szCs w:val="22"/>
        </w:rPr>
      </w:pPr>
    </w:p>
    <w:p w14:paraId="454AD8A1" w14:textId="77777777" w:rsidR="00C65A09" w:rsidRPr="00B16A5B" w:rsidRDefault="00C65A09" w:rsidP="009A7916">
      <w:pPr>
        <w:spacing w:line="300" w:lineRule="auto"/>
        <w:jc w:val="both"/>
        <w:rPr>
          <w:color w:val="000000" w:themeColor="text1"/>
          <w:sz w:val="22"/>
          <w:szCs w:val="22"/>
        </w:rPr>
      </w:pPr>
      <w:r w:rsidRPr="00B16A5B">
        <w:rPr>
          <w:color w:val="000000" w:themeColor="text1"/>
          <w:sz w:val="22"/>
          <w:szCs w:val="22"/>
        </w:rPr>
        <w:t xml:space="preserve">Soweit derartige Streitigkeiten nicht vorgerichtlich geklärt werden können, ist in der Regel die Durchführung eines gerichtlichen Klageverfahrens erforderlich. </w:t>
      </w:r>
    </w:p>
    <w:p w14:paraId="63658475" w14:textId="77777777" w:rsidR="00C65A09" w:rsidRPr="00B16A5B" w:rsidRDefault="00C65A09" w:rsidP="009A7916">
      <w:pPr>
        <w:spacing w:line="300" w:lineRule="auto"/>
        <w:jc w:val="both"/>
        <w:rPr>
          <w:color w:val="000000" w:themeColor="text1"/>
          <w:sz w:val="22"/>
          <w:szCs w:val="22"/>
        </w:rPr>
      </w:pPr>
    </w:p>
    <w:p w14:paraId="489772E4" w14:textId="77777777" w:rsidR="00C65A09" w:rsidRPr="00B16A5B" w:rsidRDefault="00C65A09" w:rsidP="009A7916">
      <w:pPr>
        <w:spacing w:line="300" w:lineRule="auto"/>
        <w:jc w:val="both"/>
        <w:rPr>
          <w:color w:val="000000" w:themeColor="text1"/>
          <w:sz w:val="22"/>
          <w:szCs w:val="22"/>
        </w:rPr>
      </w:pPr>
      <w:r w:rsidRPr="00B16A5B">
        <w:rPr>
          <w:color w:val="000000" w:themeColor="text1"/>
          <w:sz w:val="22"/>
          <w:szCs w:val="22"/>
        </w:rPr>
        <w:t xml:space="preserve">In allen Fällen ist dem betroffenen Verband/Verein empfohlen, sich bereits in einer sehr frühen Phase rechtlich beraten zu lassen. So hat der Landesverband (LSK) einen Vertragsrechtsanwalt, zahlreiche Regional-/Territorialverbände haben ebenfalls eigene </w:t>
      </w:r>
      <w:r w:rsidR="00E75100" w:rsidRPr="00B16A5B">
        <w:rPr>
          <w:color w:val="000000" w:themeColor="text1"/>
          <w:sz w:val="22"/>
          <w:szCs w:val="22"/>
        </w:rPr>
        <w:t>Vertragsrechtsanwälte</w:t>
      </w:r>
      <w:r w:rsidRPr="00B16A5B">
        <w:rPr>
          <w:color w:val="000000" w:themeColor="text1"/>
          <w:sz w:val="22"/>
          <w:szCs w:val="22"/>
        </w:rPr>
        <w:t xml:space="preserve">, die hierfür zur Verfügung stehen. </w:t>
      </w:r>
    </w:p>
    <w:p w14:paraId="751F6E5D" w14:textId="77777777" w:rsidR="00C65A09" w:rsidRPr="00B16A5B" w:rsidRDefault="00C65A09" w:rsidP="009A7916">
      <w:pPr>
        <w:spacing w:line="300" w:lineRule="auto"/>
        <w:jc w:val="both"/>
        <w:rPr>
          <w:color w:val="000000" w:themeColor="text1"/>
          <w:sz w:val="22"/>
          <w:szCs w:val="22"/>
        </w:rPr>
      </w:pPr>
    </w:p>
    <w:p w14:paraId="51D9E84F" w14:textId="77777777" w:rsidR="00C65A09" w:rsidRPr="00B16A5B" w:rsidRDefault="00C65A09" w:rsidP="009A7916">
      <w:pPr>
        <w:spacing w:line="300" w:lineRule="auto"/>
        <w:jc w:val="both"/>
        <w:rPr>
          <w:color w:val="000000" w:themeColor="text1"/>
          <w:sz w:val="22"/>
          <w:szCs w:val="22"/>
        </w:rPr>
      </w:pPr>
      <w:r w:rsidRPr="00B16A5B">
        <w:rPr>
          <w:color w:val="000000" w:themeColor="text1"/>
          <w:sz w:val="22"/>
          <w:szCs w:val="22"/>
        </w:rPr>
        <w:t xml:space="preserve">Zahlreiche Verbände/Vereine sind rechtsschutzversichert. Es sollte frühzeitig geprüft werden, ob eine Rechtsschutzversicherung besteht und ob diese auch für den konkreten Rechtsstreit eintrittspflichtig ist. </w:t>
      </w:r>
    </w:p>
    <w:p w14:paraId="2FB208B9" w14:textId="77777777" w:rsidR="00C65A09" w:rsidRPr="00B16A5B" w:rsidRDefault="00C65A09" w:rsidP="009A7916">
      <w:pPr>
        <w:spacing w:line="300" w:lineRule="auto"/>
        <w:jc w:val="both"/>
        <w:rPr>
          <w:color w:val="000000" w:themeColor="text1"/>
          <w:sz w:val="22"/>
          <w:szCs w:val="22"/>
        </w:rPr>
      </w:pPr>
    </w:p>
    <w:p w14:paraId="5C057BDE" w14:textId="77777777" w:rsidR="00C65A09" w:rsidRPr="00B16A5B" w:rsidRDefault="00426B07" w:rsidP="009A7916">
      <w:pPr>
        <w:spacing w:line="300" w:lineRule="auto"/>
        <w:jc w:val="both"/>
        <w:rPr>
          <w:color w:val="000000" w:themeColor="text1"/>
          <w:sz w:val="22"/>
          <w:szCs w:val="22"/>
        </w:rPr>
      </w:pPr>
      <w:r w:rsidRPr="00B16A5B">
        <w:rPr>
          <w:color w:val="000000" w:themeColor="text1"/>
          <w:sz w:val="22"/>
          <w:szCs w:val="22"/>
        </w:rPr>
        <w:t xml:space="preserve">Kommt es nun zu einem Klageverfahren, ist das Gericht zu jeder Lage des Verfahrens gehalten, eine gütliche Beilegung des Rechtsstreits (Vergleich) herbeizuführen, § 278 Abs. 1 ZPO. In Einzelfällen unterbreitet das Gericht den Parteien bereits vor der mündlichen Verhandlung einen Vergleichsvorschlag auf schriftlichem Wege, in der Regel findet jedoch in der mündlichen Verhandlung als erstes der so genannte Gütetermin statt, bei dem </w:t>
      </w:r>
      <w:proofErr w:type="gramStart"/>
      <w:r w:rsidRPr="00B16A5B">
        <w:rPr>
          <w:color w:val="000000" w:themeColor="text1"/>
          <w:sz w:val="22"/>
          <w:szCs w:val="22"/>
        </w:rPr>
        <w:t>eine vergleichsweise</w:t>
      </w:r>
      <w:proofErr w:type="gramEnd"/>
      <w:r w:rsidRPr="00B16A5B">
        <w:rPr>
          <w:color w:val="000000" w:themeColor="text1"/>
          <w:sz w:val="22"/>
          <w:szCs w:val="22"/>
        </w:rPr>
        <w:t xml:space="preserve"> Regelung der Angelegenheit erörtert wird. Einem Verein/Verband als Prozesspartei ist daher dringend zu empfehlen, sich bereits vor diesem Termin eine entsprechende Meinung zu bilden, damit man nicht im Termin unvorbereitet mit derartigen Einigungsgesprächen konfrontiert wird. </w:t>
      </w:r>
      <w:r w:rsidR="004563F7" w:rsidRPr="00B16A5B">
        <w:rPr>
          <w:color w:val="000000" w:themeColor="text1"/>
          <w:sz w:val="22"/>
          <w:szCs w:val="22"/>
        </w:rPr>
        <w:t xml:space="preserve">Hierbei sollte vorab festgelegt werden, ob </w:t>
      </w:r>
      <w:proofErr w:type="gramStart"/>
      <w:r w:rsidR="004563F7" w:rsidRPr="00B16A5B">
        <w:rPr>
          <w:color w:val="000000" w:themeColor="text1"/>
          <w:sz w:val="22"/>
          <w:szCs w:val="22"/>
        </w:rPr>
        <w:t>eine vergleichsweise</w:t>
      </w:r>
      <w:proofErr w:type="gramEnd"/>
      <w:r w:rsidR="004563F7" w:rsidRPr="00B16A5B">
        <w:rPr>
          <w:color w:val="000000" w:themeColor="text1"/>
          <w:sz w:val="22"/>
          <w:szCs w:val="22"/>
        </w:rPr>
        <w:t xml:space="preserve"> Regelung überhaupt in Betracht kommt und bejahendenfalls in welchem Umfang. </w:t>
      </w:r>
    </w:p>
    <w:p w14:paraId="596DEB9B" w14:textId="77777777" w:rsidR="004563F7" w:rsidRPr="00B16A5B" w:rsidRDefault="004563F7" w:rsidP="009A7916">
      <w:pPr>
        <w:spacing w:line="300" w:lineRule="auto"/>
        <w:jc w:val="both"/>
        <w:rPr>
          <w:color w:val="000000" w:themeColor="text1"/>
          <w:sz w:val="22"/>
          <w:szCs w:val="22"/>
        </w:rPr>
      </w:pPr>
    </w:p>
    <w:p w14:paraId="68F49217" w14:textId="77777777" w:rsidR="004563F7" w:rsidRPr="00B16A5B" w:rsidRDefault="00EF5160" w:rsidP="009A7916">
      <w:pPr>
        <w:spacing w:line="300" w:lineRule="auto"/>
        <w:jc w:val="both"/>
        <w:rPr>
          <w:color w:val="000000" w:themeColor="text1"/>
          <w:sz w:val="22"/>
          <w:szCs w:val="22"/>
        </w:rPr>
      </w:pPr>
      <w:r w:rsidRPr="00B16A5B">
        <w:rPr>
          <w:color w:val="000000" w:themeColor="text1"/>
          <w:sz w:val="22"/>
          <w:szCs w:val="22"/>
        </w:rPr>
        <w:t>E</w:t>
      </w:r>
      <w:r w:rsidR="004563F7" w:rsidRPr="00B16A5B">
        <w:rPr>
          <w:color w:val="000000" w:themeColor="text1"/>
          <w:sz w:val="22"/>
          <w:szCs w:val="22"/>
        </w:rPr>
        <w:t xml:space="preserve">in Vergleich </w:t>
      </w:r>
      <w:r w:rsidRPr="00B16A5B">
        <w:rPr>
          <w:color w:val="000000" w:themeColor="text1"/>
          <w:sz w:val="22"/>
          <w:szCs w:val="22"/>
        </w:rPr>
        <w:t xml:space="preserve">beinhaltet </w:t>
      </w:r>
      <w:r w:rsidR="004563F7" w:rsidRPr="00B16A5B">
        <w:rPr>
          <w:color w:val="000000" w:themeColor="text1"/>
          <w:sz w:val="22"/>
          <w:szCs w:val="22"/>
        </w:rPr>
        <w:t xml:space="preserve">stets ein wechselseitiges Nachgeben der Parteien, ein Anerkenntnis des Klageantrages durch den Gegner ist kein Vergleich. </w:t>
      </w:r>
    </w:p>
    <w:p w14:paraId="09957512" w14:textId="77777777" w:rsidR="00A20669" w:rsidRPr="00B16A5B" w:rsidRDefault="00A20669" w:rsidP="009A7916">
      <w:pPr>
        <w:spacing w:line="300" w:lineRule="auto"/>
        <w:jc w:val="both"/>
        <w:rPr>
          <w:color w:val="000000" w:themeColor="text1"/>
          <w:sz w:val="22"/>
          <w:szCs w:val="22"/>
        </w:rPr>
      </w:pPr>
    </w:p>
    <w:p w14:paraId="45B8D88E" w14:textId="7A22A06D" w:rsidR="00A20669" w:rsidRPr="00B16A5B" w:rsidRDefault="00A20669" w:rsidP="009A7916">
      <w:pPr>
        <w:spacing w:line="300" w:lineRule="auto"/>
        <w:jc w:val="both"/>
        <w:rPr>
          <w:color w:val="000000" w:themeColor="text1"/>
          <w:sz w:val="22"/>
          <w:szCs w:val="22"/>
        </w:rPr>
      </w:pPr>
      <w:r w:rsidRPr="00B16A5B">
        <w:rPr>
          <w:color w:val="000000" w:themeColor="text1"/>
          <w:sz w:val="22"/>
          <w:szCs w:val="22"/>
        </w:rPr>
        <w:lastRenderedPageBreak/>
        <w:t>Der Vergleich ermöglicht es</w:t>
      </w:r>
      <w:r w:rsidR="00B809E3" w:rsidRPr="00B16A5B">
        <w:rPr>
          <w:color w:val="000000" w:themeColor="text1"/>
          <w:sz w:val="22"/>
          <w:szCs w:val="22"/>
        </w:rPr>
        <w:t xml:space="preserve"> </w:t>
      </w:r>
      <w:r w:rsidRPr="00B16A5B">
        <w:rPr>
          <w:color w:val="000000" w:themeColor="text1"/>
          <w:sz w:val="22"/>
          <w:szCs w:val="22"/>
        </w:rPr>
        <w:t>auch</w:t>
      </w:r>
      <w:r w:rsidR="00E4779A" w:rsidRPr="00B16A5B">
        <w:rPr>
          <w:color w:val="000000" w:themeColor="text1"/>
          <w:sz w:val="22"/>
          <w:szCs w:val="22"/>
        </w:rPr>
        <w:t>,</w:t>
      </w:r>
      <w:r w:rsidRPr="00B16A5B">
        <w:rPr>
          <w:color w:val="000000" w:themeColor="text1"/>
          <w:sz w:val="22"/>
          <w:szCs w:val="22"/>
        </w:rPr>
        <w:t xml:space="preserve"> auf entsprechende Hinweise eines Gerichtes zu reagieren und insoweit Schadensbegrenzung zu betreiben.</w:t>
      </w:r>
    </w:p>
    <w:p w14:paraId="5F588F15" w14:textId="77777777" w:rsidR="00A20669" w:rsidRPr="00B16A5B" w:rsidRDefault="00A20669" w:rsidP="009A7916">
      <w:pPr>
        <w:spacing w:line="300" w:lineRule="auto"/>
        <w:jc w:val="both"/>
        <w:rPr>
          <w:color w:val="000000" w:themeColor="text1"/>
          <w:sz w:val="22"/>
          <w:szCs w:val="22"/>
        </w:rPr>
      </w:pPr>
    </w:p>
    <w:p w14:paraId="63760E1D" w14:textId="04FFF4EF" w:rsidR="00A20669" w:rsidRPr="00B16A5B" w:rsidRDefault="00A20669" w:rsidP="009A7916">
      <w:pPr>
        <w:spacing w:line="300" w:lineRule="auto"/>
        <w:jc w:val="both"/>
        <w:rPr>
          <w:color w:val="000000" w:themeColor="text1"/>
          <w:sz w:val="22"/>
          <w:szCs w:val="22"/>
        </w:rPr>
      </w:pPr>
      <w:r w:rsidRPr="00B16A5B">
        <w:rPr>
          <w:color w:val="000000" w:themeColor="text1"/>
          <w:sz w:val="22"/>
          <w:szCs w:val="22"/>
        </w:rPr>
        <w:t xml:space="preserve">Teilt das Gericht etwa mit, dass </w:t>
      </w:r>
      <w:r w:rsidR="00EF5160" w:rsidRPr="00B16A5B">
        <w:rPr>
          <w:color w:val="000000" w:themeColor="text1"/>
          <w:sz w:val="22"/>
          <w:szCs w:val="22"/>
        </w:rPr>
        <w:t xml:space="preserve">es </w:t>
      </w:r>
      <w:r w:rsidR="002A7DB9" w:rsidRPr="00B16A5B">
        <w:rPr>
          <w:color w:val="000000" w:themeColor="text1"/>
          <w:sz w:val="22"/>
          <w:szCs w:val="22"/>
        </w:rPr>
        <w:t>die Kündigungsgründe einer ausgesprochenen Kündigung für nicht ausreichend hält, die Fortsetzung des Pachtverhältnisses aber wohl keinen Sinn mache, macht es in derartigen Fällen Sinn</w:t>
      </w:r>
      <w:r w:rsidR="00E4779A" w:rsidRPr="00B16A5B">
        <w:rPr>
          <w:color w:val="000000" w:themeColor="text1"/>
          <w:sz w:val="22"/>
          <w:szCs w:val="22"/>
        </w:rPr>
        <w:t>,</w:t>
      </w:r>
      <w:r w:rsidR="002A7DB9" w:rsidRPr="00B16A5B">
        <w:rPr>
          <w:color w:val="000000" w:themeColor="text1"/>
          <w:sz w:val="22"/>
          <w:szCs w:val="22"/>
        </w:rPr>
        <w:t xml:space="preserve"> einen Vergleich abzuschließen mit dem Inhalt, dass der Unterpächter die Parzelle herausgibt, ihm aber noch eine Nutzung bis zum 30.11. des Jahres </w:t>
      </w:r>
      <w:r w:rsidR="00E4779A" w:rsidRPr="00B16A5B">
        <w:rPr>
          <w:color w:val="000000" w:themeColor="text1"/>
          <w:sz w:val="22"/>
          <w:szCs w:val="22"/>
        </w:rPr>
        <w:t xml:space="preserve">- </w:t>
      </w:r>
      <w:r w:rsidR="002A7DB9" w:rsidRPr="00B16A5B">
        <w:rPr>
          <w:color w:val="000000" w:themeColor="text1"/>
          <w:sz w:val="22"/>
          <w:szCs w:val="22"/>
        </w:rPr>
        <w:t xml:space="preserve">verbunden mit der Möglichkeit einen Nachpächter zu finden </w:t>
      </w:r>
      <w:r w:rsidR="00E4779A" w:rsidRPr="00B16A5B">
        <w:rPr>
          <w:color w:val="000000" w:themeColor="text1"/>
          <w:sz w:val="22"/>
          <w:szCs w:val="22"/>
        </w:rPr>
        <w:t xml:space="preserve">- </w:t>
      </w:r>
      <w:r w:rsidR="002A7DB9" w:rsidRPr="00B16A5B">
        <w:rPr>
          <w:color w:val="000000" w:themeColor="text1"/>
          <w:sz w:val="22"/>
          <w:szCs w:val="22"/>
        </w:rPr>
        <w:t xml:space="preserve">gewährt wird. </w:t>
      </w:r>
    </w:p>
    <w:p w14:paraId="4308678B" w14:textId="77777777" w:rsidR="002A7DB9" w:rsidRPr="00B16A5B" w:rsidRDefault="002A7DB9" w:rsidP="009A7916">
      <w:pPr>
        <w:spacing w:line="300" w:lineRule="auto"/>
        <w:jc w:val="both"/>
        <w:rPr>
          <w:color w:val="000000" w:themeColor="text1"/>
          <w:sz w:val="22"/>
          <w:szCs w:val="22"/>
        </w:rPr>
      </w:pPr>
    </w:p>
    <w:p w14:paraId="347926C0" w14:textId="77777777" w:rsidR="002A7DB9" w:rsidRPr="00B16A5B" w:rsidRDefault="002A7DB9" w:rsidP="009A7916">
      <w:pPr>
        <w:spacing w:line="300" w:lineRule="auto"/>
        <w:jc w:val="both"/>
        <w:rPr>
          <w:color w:val="000000" w:themeColor="text1"/>
          <w:sz w:val="22"/>
          <w:szCs w:val="22"/>
        </w:rPr>
      </w:pPr>
      <w:r w:rsidRPr="00B16A5B">
        <w:rPr>
          <w:color w:val="000000" w:themeColor="text1"/>
          <w:sz w:val="22"/>
          <w:szCs w:val="22"/>
        </w:rPr>
        <w:t xml:space="preserve">Hat das Gericht bei einer Zahlungsklage Bedenken gegen die Schlüssigkeit von Teilen der Abrechnung, macht es Sinn, einen Vergleich über die Zahlung des schlüssigen Teils abzuschließen und auf die Geltendmachung des unschlüssigen Teils zu verzichten. </w:t>
      </w:r>
    </w:p>
    <w:p w14:paraId="26D052C4" w14:textId="77777777" w:rsidR="002A7DB9" w:rsidRPr="00B16A5B" w:rsidRDefault="002A7DB9" w:rsidP="009A7916">
      <w:pPr>
        <w:spacing w:line="300" w:lineRule="auto"/>
        <w:jc w:val="both"/>
        <w:rPr>
          <w:color w:val="000000" w:themeColor="text1"/>
          <w:sz w:val="22"/>
          <w:szCs w:val="22"/>
        </w:rPr>
      </w:pPr>
    </w:p>
    <w:p w14:paraId="2103F9D4" w14:textId="77777777" w:rsidR="002A7DB9" w:rsidRPr="00B16A5B" w:rsidRDefault="002A7DB9" w:rsidP="009A7916">
      <w:pPr>
        <w:spacing w:line="300" w:lineRule="auto"/>
        <w:jc w:val="both"/>
        <w:rPr>
          <w:color w:val="000000" w:themeColor="text1"/>
          <w:sz w:val="22"/>
          <w:szCs w:val="22"/>
        </w:rPr>
      </w:pPr>
      <w:r w:rsidRPr="00B16A5B">
        <w:rPr>
          <w:color w:val="000000" w:themeColor="text1"/>
          <w:sz w:val="22"/>
          <w:szCs w:val="22"/>
        </w:rPr>
        <w:t>Vor- und Nachteile eines Vergleichs</w:t>
      </w:r>
      <w:r w:rsidR="00EF5160" w:rsidRPr="00B16A5B">
        <w:rPr>
          <w:color w:val="000000" w:themeColor="text1"/>
          <w:sz w:val="22"/>
          <w:szCs w:val="22"/>
        </w:rPr>
        <w:t xml:space="preserve"> sollten</w:t>
      </w:r>
      <w:r w:rsidRPr="00B16A5B">
        <w:rPr>
          <w:color w:val="000000" w:themeColor="text1"/>
          <w:sz w:val="22"/>
          <w:szCs w:val="22"/>
        </w:rPr>
        <w:t xml:space="preserve"> abgewogen werden. </w:t>
      </w:r>
    </w:p>
    <w:p w14:paraId="3093FE94" w14:textId="77777777" w:rsidR="002A7DB9" w:rsidRPr="00B16A5B" w:rsidRDefault="002A7DB9" w:rsidP="009A7916">
      <w:pPr>
        <w:spacing w:line="300" w:lineRule="auto"/>
        <w:ind w:left="709" w:hanging="709"/>
        <w:jc w:val="both"/>
        <w:rPr>
          <w:color w:val="000000" w:themeColor="text1"/>
          <w:sz w:val="22"/>
          <w:szCs w:val="22"/>
        </w:rPr>
      </w:pPr>
    </w:p>
    <w:p w14:paraId="389A2EF6" w14:textId="77777777" w:rsidR="002A7DB9" w:rsidRPr="00B16A5B" w:rsidRDefault="002A7DB9" w:rsidP="009A7916">
      <w:pPr>
        <w:spacing w:line="300" w:lineRule="auto"/>
        <w:ind w:left="709" w:hanging="709"/>
        <w:jc w:val="both"/>
        <w:rPr>
          <w:color w:val="000000" w:themeColor="text1"/>
          <w:sz w:val="22"/>
          <w:szCs w:val="22"/>
        </w:rPr>
      </w:pPr>
      <w:r w:rsidRPr="00B16A5B">
        <w:rPr>
          <w:color w:val="000000" w:themeColor="text1"/>
          <w:sz w:val="22"/>
          <w:szCs w:val="22"/>
        </w:rPr>
        <w:t>Vorteile eines Vergleichs</w:t>
      </w:r>
    </w:p>
    <w:p w14:paraId="0E0859E1" w14:textId="77777777" w:rsidR="002A7DB9" w:rsidRPr="00B16A5B" w:rsidRDefault="002A7DB9"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 xml:space="preserve">Ein abgeschlossener Vergleich beendet einen Rechtsstreit in der Regel sofort, während die Fortsetzung des Rechtsstreits den Rechtsstreit um Monate, im schlimmsten Fall um Jahre in die Länge zieht. </w:t>
      </w:r>
    </w:p>
    <w:p w14:paraId="716CBD4A" w14:textId="77777777" w:rsidR="002A7DB9" w:rsidRPr="00B16A5B" w:rsidRDefault="002A7DB9"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 xml:space="preserve">Der Vergleich ist präzise formuliert, die Parteien wissen, was sie bekommen und was sie nicht bekommen, sie setzen sich nicht einem möglicherweise für sie ganz oder überwiegend ungünstigen Urteil des Gerichts aus. </w:t>
      </w:r>
    </w:p>
    <w:p w14:paraId="73A6B4B1" w14:textId="77777777" w:rsidR="002A7DB9" w:rsidRPr="00B16A5B" w:rsidRDefault="00EF5160"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Die</w:t>
      </w:r>
      <w:r w:rsidR="002A7DB9" w:rsidRPr="00B16A5B">
        <w:rPr>
          <w:color w:val="000000" w:themeColor="text1"/>
          <w:sz w:val="22"/>
          <w:szCs w:val="22"/>
        </w:rPr>
        <w:t xml:space="preserve"> Inhalt</w:t>
      </w:r>
      <w:r w:rsidRPr="00B16A5B">
        <w:rPr>
          <w:color w:val="000000" w:themeColor="text1"/>
          <w:sz w:val="22"/>
          <w:szCs w:val="22"/>
        </w:rPr>
        <w:t>e</w:t>
      </w:r>
      <w:r w:rsidR="002A7DB9" w:rsidRPr="00B16A5B">
        <w:rPr>
          <w:color w:val="000000" w:themeColor="text1"/>
          <w:sz w:val="22"/>
          <w:szCs w:val="22"/>
        </w:rPr>
        <w:t xml:space="preserve"> des Vergleichs </w:t>
      </w:r>
      <w:r w:rsidRPr="00B16A5B">
        <w:rPr>
          <w:color w:val="000000" w:themeColor="text1"/>
          <w:sz w:val="22"/>
          <w:szCs w:val="22"/>
        </w:rPr>
        <w:t>sind</w:t>
      </w:r>
      <w:r w:rsidR="002A7DB9" w:rsidRPr="00B16A5B">
        <w:rPr>
          <w:color w:val="000000" w:themeColor="text1"/>
          <w:sz w:val="22"/>
          <w:szCs w:val="22"/>
        </w:rPr>
        <w:t xml:space="preserve"> in gleicher Weise vollstreckbar wie </w:t>
      </w:r>
      <w:r w:rsidRPr="00B16A5B">
        <w:rPr>
          <w:color w:val="000000" w:themeColor="text1"/>
          <w:sz w:val="22"/>
          <w:szCs w:val="22"/>
        </w:rPr>
        <w:t>die</w:t>
      </w:r>
      <w:r w:rsidR="002A7DB9" w:rsidRPr="00B16A5B">
        <w:rPr>
          <w:color w:val="000000" w:themeColor="text1"/>
          <w:sz w:val="22"/>
          <w:szCs w:val="22"/>
        </w:rPr>
        <w:t xml:space="preserve"> Inhalt</w:t>
      </w:r>
      <w:r w:rsidRPr="00B16A5B">
        <w:rPr>
          <w:color w:val="000000" w:themeColor="text1"/>
          <w:sz w:val="22"/>
          <w:szCs w:val="22"/>
        </w:rPr>
        <w:t>e</w:t>
      </w:r>
      <w:r w:rsidR="002A7DB9" w:rsidRPr="00B16A5B">
        <w:rPr>
          <w:color w:val="000000" w:themeColor="text1"/>
          <w:sz w:val="22"/>
          <w:szCs w:val="22"/>
        </w:rPr>
        <w:t xml:space="preserve"> eines Urteils. Diese können also mit den gleichen Zwangsmitteln (z.B. Gerichtsvollzieher, Pfändung</w:t>
      </w:r>
      <w:r w:rsidRPr="00B16A5B">
        <w:rPr>
          <w:color w:val="000000" w:themeColor="text1"/>
          <w:sz w:val="22"/>
          <w:szCs w:val="22"/>
        </w:rPr>
        <w:t xml:space="preserve"> usw.</w:t>
      </w:r>
      <w:r w:rsidR="002A7DB9" w:rsidRPr="00B16A5B">
        <w:rPr>
          <w:color w:val="000000" w:themeColor="text1"/>
          <w:sz w:val="22"/>
          <w:szCs w:val="22"/>
        </w:rPr>
        <w:t xml:space="preserve">) durchgesetzt werden, wie ein Gerichtsurteil. </w:t>
      </w:r>
    </w:p>
    <w:p w14:paraId="5D6EF165" w14:textId="77777777" w:rsidR="002A7DB9" w:rsidRPr="00B16A5B" w:rsidRDefault="002A7DB9" w:rsidP="009A7916">
      <w:pPr>
        <w:spacing w:line="300" w:lineRule="auto"/>
        <w:ind w:left="709" w:hanging="709"/>
        <w:jc w:val="both"/>
        <w:rPr>
          <w:color w:val="000000" w:themeColor="text1"/>
          <w:sz w:val="22"/>
          <w:szCs w:val="22"/>
        </w:rPr>
      </w:pPr>
    </w:p>
    <w:p w14:paraId="042F9CB7" w14:textId="77777777" w:rsidR="002A7DB9" w:rsidRPr="00B16A5B" w:rsidRDefault="002A7DB9" w:rsidP="009A7916">
      <w:pPr>
        <w:spacing w:line="300" w:lineRule="auto"/>
        <w:ind w:left="709" w:hanging="709"/>
        <w:jc w:val="both"/>
        <w:rPr>
          <w:color w:val="000000" w:themeColor="text1"/>
          <w:sz w:val="22"/>
          <w:szCs w:val="22"/>
        </w:rPr>
      </w:pPr>
      <w:r w:rsidRPr="00B16A5B">
        <w:rPr>
          <w:color w:val="000000" w:themeColor="text1"/>
          <w:sz w:val="22"/>
          <w:szCs w:val="22"/>
        </w:rPr>
        <w:t>Nachteile eines Vergleichs</w:t>
      </w:r>
    </w:p>
    <w:p w14:paraId="319BD6F9" w14:textId="77777777" w:rsidR="002A7DB9" w:rsidRPr="00B16A5B" w:rsidRDefault="00B0533F"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 xml:space="preserve">Wie bereits oben ausgeführt, besteht ein Vergleich aus einem wechselseitigen Nachgeben. Dies bedeutet, dass ein Vergleich immer hinter der ursprünglichen Klageforderung zurückbleiben wird. </w:t>
      </w:r>
    </w:p>
    <w:p w14:paraId="4292D4AA" w14:textId="77777777" w:rsidR="00B0533F" w:rsidRPr="00B16A5B" w:rsidRDefault="00B0533F" w:rsidP="009A7916">
      <w:pPr>
        <w:numPr>
          <w:ilvl w:val="0"/>
          <w:numId w:val="13"/>
        </w:numPr>
        <w:spacing w:line="300" w:lineRule="auto"/>
        <w:ind w:left="709" w:hanging="709"/>
        <w:jc w:val="both"/>
        <w:rPr>
          <w:color w:val="000000" w:themeColor="text1"/>
          <w:sz w:val="22"/>
          <w:szCs w:val="22"/>
        </w:rPr>
      </w:pPr>
      <w:r w:rsidRPr="00B16A5B">
        <w:rPr>
          <w:color w:val="000000" w:themeColor="text1"/>
          <w:sz w:val="22"/>
          <w:szCs w:val="22"/>
        </w:rPr>
        <w:t xml:space="preserve">Bei einem Vergleich wird sich ein Vereinsvorstand möglicherweise von den Vereinsmitgliedern fragen lassen müssen, warum man auf Teile der Forderung verzichtet habe. </w:t>
      </w:r>
      <w:r w:rsidR="009A7916" w:rsidRPr="00B16A5B">
        <w:rPr>
          <w:color w:val="000000" w:themeColor="text1"/>
          <w:sz w:val="22"/>
          <w:szCs w:val="22"/>
        </w:rPr>
        <w:t xml:space="preserve">Erfahrungsgemäß führt dies manchmal zu entsprechenden Erklärungsnöten. </w:t>
      </w:r>
    </w:p>
    <w:p w14:paraId="7E75E202" w14:textId="3D2B3DBB" w:rsidR="00B809E3" w:rsidRPr="00B16A5B" w:rsidRDefault="009A7916" w:rsidP="00B16A5B">
      <w:pPr>
        <w:numPr>
          <w:ilvl w:val="0"/>
          <w:numId w:val="13"/>
        </w:numPr>
        <w:spacing w:line="300" w:lineRule="auto"/>
        <w:ind w:left="709" w:hanging="709"/>
        <w:jc w:val="both"/>
        <w:rPr>
          <w:bCs/>
          <w:color w:val="000000" w:themeColor="text1"/>
          <w:sz w:val="22"/>
          <w:szCs w:val="22"/>
        </w:rPr>
      </w:pPr>
      <w:r w:rsidRPr="00B16A5B">
        <w:rPr>
          <w:color w:val="000000" w:themeColor="text1"/>
          <w:sz w:val="22"/>
          <w:szCs w:val="22"/>
        </w:rPr>
        <w:t xml:space="preserve">Soweit der Rechtsstreit mit einem Vergleich endet, ist bei Bestehen einer Rechtsschutzversicherung unbedingt darauf zu achten, dass die Kostenfolge (anteilige Kostentragung der Verfahrenskosten durch die Parteien) dem Ergebnis des Vergleichs entspricht. Ist dies – aus Sicht der Rechtsschutzversicherung – nicht der Fall, wird diese unter Umständen die Kosten des Rechtsstreits nicht in voller Höhe tragen. Im Zweifel ist in derartigen Fällen der Text des Vergleiches vorab der Rechtsschutzversicherung zur Genehmigung vorzulegen. Im Gerichtstermin hat man sich dann eine entsprechende Widerrufsfrist durch das Gericht einräumen zu lassen, sodass der Vergleich bei fehlender Zustimmung durch die Rechtsschutzversicherung widerrufen werden </w:t>
      </w:r>
      <w:r w:rsidR="00E4779A" w:rsidRPr="00B16A5B">
        <w:rPr>
          <w:color w:val="000000" w:themeColor="text1"/>
          <w:sz w:val="22"/>
          <w:szCs w:val="22"/>
        </w:rPr>
        <w:t>kann</w:t>
      </w:r>
      <w:r w:rsidRPr="00B16A5B">
        <w:rPr>
          <w:color w:val="000000" w:themeColor="text1"/>
          <w:sz w:val="22"/>
          <w:szCs w:val="22"/>
        </w:rPr>
        <w:t xml:space="preserve">. </w:t>
      </w:r>
    </w:p>
    <w:p w14:paraId="7B728BC3" w14:textId="77777777" w:rsidR="00B16A5B" w:rsidRDefault="00B16A5B" w:rsidP="00B16A5B">
      <w:pPr>
        <w:spacing w:line="300" w:lineRule="auto"/>
        <w:ind w:left="709" w:hanging="709"/>
        <w:rPr>
          <w:bCs/>
          <w:color w:val="000000" w:themeColor="text1"/>
          <w:sz w:val="22"/>
          <w:szCs w:val="22"/>
        </w:rPr>
      </w:pPr>
    </w:p>
    <w:p w14:paraId="2D03927B" w14:textId="7DE5FEF2" w:rsidR="00B809E3" w:rsidRPr="00B16A5B" w:rsidRDefault="00426A3D" w:rsidP="00B16A5B">
      <w:pPr>
        <w:spacing w:line="300" w:lineRule="auto"/>
        <w:ind w:left="709" w:hanging="709"/>
        <w:rPr>
          <w:color w:val="000000" w:themeColor="text1"/>
          <w:sz w:val="22"/>
          <w:szCs w:val="22"/>
        </w:rPr>
      </w:pPr>
      <w:r w:rsidRPr="00B16A5B">
        <w:rPr>
          <w:bCs/>
          <w:color w:val="000000" w:themeColor="text1"/>
          <w:sz w:val="22"/>
          <w:szCs w:val="22"/>
        </w:rPr>
        <w:t xml:space="preserve">Arbeitsgruppe Recht </w:t>
      </w:r>
      <w:r w:rsidR="00F63AD0" w:rsidRPr="00B16A5B">
        <w:rPr>
          <w:bCs/>
          <w:color w:val="000000" w:themeColor="text1"/>
          <w:sz w:val="22"/>
          <w:szCs w:val="22"/>
        </w:rPr>
        <w:t xml:space="preserve">des </w:t>
      </w:r>
      <w:r w:rsidR="00F63AD0" w:rsidRPr="00B16A5B">
        <w:rPr>
          <w:color w:val="000000" w:themeColor="text1"/>
          <w:sz w:val="22"/>
          <w:szCs w:val="22"/>
        </w:rPr>
        <w:t>LSK</w:t>
      </w:r>
    </w:p>
    <w:p w14:paraId="78F46560" w14:textId="5C9A783D" w:rsidR="00F63AD0" w:rsidRPr="00B16A5B" w:rsidRDefault="00EF5160" w:rsidP="009A7916">
      <w:pPr>
        <w:spacing w:line="300" w:lineRule="auto"/>
        <w:ind w:left="709" w:hanging="709"/>
        <w:rPr>
          <w:color w:val="000000" w:themeColor="text1"/>
          <w:sz w:val="22"/>
          <w:szCs w:val="22"/>
        </w:rPr>
      </w:pPr>
      <w:r w:rsidRPr="00B16A5B">
        <w:rPr>
          <w:color w:val="000000" w:themeColor="text1"/>
          <w:sz w:val="22"/>
          <w:szCs w:val="22"/>
        </w:rPr>
        <w:t>Stand: 11.05.2022</w:t>
      </w:r>
    </w:p>
    <w:sectPr w:rsidR="00F63AD0" w:rsidRPr="00B16A5B">
      <w:headerReference w:type="even" r:id="rId7"/>
      <w:headerReference w:type="default" r:id="rId8"/>
      <w:footerReference w:type="even" r:id="rId9"/>
      <w:footerReference w:type="default" r:id="rId10"/>
      <w:headerReference w:type="first" r:id="rId11"/>
      <w:footerReference w:type="first" r:id="rId12"/>
      <w:pgSz w:w="11904" w:h="16836" w:code="9"/>
      <w:pgMar w:top="1418" w:right="1440" w:bottom="113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34D8" w14:textId="77777777" w:rsidR="00470154" w:rsidRDefault="00470154">
      <w:r>
        <w:separator/>
      </w:r>
    </w:p>
  </w:endnote>
  <w:endnote w:type="continuationSeparator" w:id="0">
    <w:p w14:paraId="3FB888CF" w14:textId="77777777" w:rsidR="00470154" w:rsidRDefault="0047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50DC" w14:textId="77777777" w:rsidR="00F63AD0" w:rsidRDefault="00F63A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A7916">
      <w:rPr>
        <w:rStyle w:val="Seitenzahl"/>
        <w:noProof/>
      </w:rPr>
      <w:t>3</w:t>
    </w:r>
    <w:r>
      <w:rPr>
        <w:rStyle w:val="Seitenzahl"/>
      </w:rPr>
      <w:fldChar w:fldCharType="end"/>
    </w:r>
  </w:p>
  <w:p w14:paraId="3FE3EEA6" w14:textId="77777777" w:rsidR="00F63AD0" w:rsidRDefault="00F63AD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EB2D" w14:textId="77777777" w:rsidR="00F63AD0" w:rsidRDefault="00F63AD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C7A87">
      <w:rPr>
        <w:rStyle w:val="Seitenzahl"/>
        <w:noProof/>
      </w:rPr>
      <w:t>3</w:t>
    </w:r>
    <w:r>
      <w:rPr>
        <w:rStyle w:val="Seitenzahl"/>
      </w:rPr>
      <w:fldChar w:fldCharType="end"/>
    </w:r>
  </w:p>
  <w:p w14:paraId="0CFFDF4A" w14:textId="77777777" w:rsidR="00F63AD0" w:rsidRDefault="00F63AD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0E3F" w14:textId="77777777" w:rsidR="00CC7A87" w:rsidRDefault="00CC7A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0B59" w14:textId="77777777" w:rsidR="00470154" w:rsidRDefault="00470154">
      <w:r>
        <w:separator/>
      </w:r>
    </w:p>
  </w:footnote>
  <w:footnote w:type="continuationSeparator" w:id="0">
    <w:p w14:paraId="020E3420" w14:textId="77777777" w:rsidR="00470154" w:rsidRDefault="0047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FD28" w14:textId="77777777" w:rsidR="00F63AD0" w:rsidRDefault="00F63AD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A7916">
      <w:rPr>
        <w:rStyle w:val="Seitenzahl"/>
        <w:noProof/>
      </w:rPr>
      <w:t>3</w:t>
    </w:r>
    <w:r>
      <w:rPr>
        <w:rStyle w:val="Seitenzahl"/>
      </w:rPr>
      <w:fldChar w:fldCharType="end"/>
    </w:r>
  </w:p>
  <w:p w14:paraId="4064A57F" w14:textId="77777777" w:rsidR="00F63AD0" w:rsidRDefault="00F63AD0">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A423" w14:textId="77777777" w:rsidR="00CC7A87" w:rsidRDefault="00CC7A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1E70" w14:textId="77777777" w:rsidR="00F63AD0" w:rsidRDefault="00CC7A87">
    <w:pPr>
      <w:pStyle w:val="Kopfzeile"/>
      <w:jc w:val="right"/>
      <w:rPr>
        <w:sz w:val="20"/>
      </w:rPr>
    </w:pPr>
    <w:r>
      <w:rPr>
        <w:sz w:val="20"/>
      </w:rPr>
      <w:t xml:space="preserve">Teil </w:t>
    </w:r>
    <w:r w:rsidR="00F63AD0">
      <w:rPr>
        <w:sz w:val="20"/>
      </w:rPr>
      <w:t>V Argumentation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7C0"/>
    <w:multiLevelType w:val="hybridMultilevel"/>
    <w:tmpl w:val="A790E9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0E29B8"/>
    <w:multiLevelType w:val="hybridMultilevel"/>
    <w:tmpl w:val="53566312"/>
    <w:lvl w:ilvl="0" w:tplc="79FAE7A6">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2" w15:restartNumberingAfterBreak="0">
    <w:nsid w:val="27633241"/>
    <w:multiLevelType w:val="hybridMultilevel"/>
    <w:tmpl w:val="2494C03E"/>
    <w:lvl w:ilvl="0" w:tplc="79FAE7A6">
      <w:start w:val="1"/>
      <w:numFmt w:val="bullet"/>
      <w:lvlText w:val=""/>
      <w:lvlJc w:val="left"/>
      <w:pPr>
        <w:tabs>
          <w:tab w:val="num" w:pos="1063"/>
        </w:tabs>
        <w:ind w:left="1063" w:hanging="360"/>
      </w:pPr>
      <w:rPr>
        <w:rFonts w:ascii="Symbol" w:hAnsi="Symbol" w:hint="default"/>
      </w:rPr>
    </w:lvl>
    <w:lvl w:ilvl="1" w:tplc="04070003" w:tentative="1">
      <w:start w:val="1"/>
      <w:numFmt w:val="bullet"/>
      <w:lvlText w:val="o"/>
      <w:lvlJc w:val="left"/>
      <w:pPr>
        <w:tabs>
          <w:tab w:val="num" w:pos="1063"/>
        </w:tabs>
        <w:ind w:left="1063" w:hanging="360"/>
      </w:pPr>
      <w:rPr>
        <w:rFonts w:ascii="Courier New" w:hAnsi="Courier New" w:cs="Courier New" w:hint="default"/>
      </w:rPr>
    </w:lvl>
    <w:lvl w:ilvl="2" w:tplc="04070005" w:tentative="1">
      <w:start w:val="1"/>
      <w:numFmt w:val="bullet"/>
      <w:lvlText w:val=""/>
      <w:lvlJc w:val="left"/>
      <w:pPr>
        <w:tabs>
          <w:tab w:val="num" w:pos="1783"/>
        </w:tabs>
        <w:ind w:left="1783" w:hanging="360"/>
      </w:pPr>
      <w:rPr>
        <w:rFonts w:ascii="Wingdings" w:hAnsi="Wingdings" w:hint="default"/>
      </w:rPr>
    </w:lvl>
    <w:lvl w:ilvl="3" w:tplc="04070001" w:tentative="1">
      <w:start w:val="1"/>
      <w:numFmt w:val="bullet"/>
      <w:lvlText w:val=""/>
      <w:lvlJc w:val="left"/>
      <w:pPr>
        <w:tabs>
          <w:tab w:val="num" w:pos="2503"/>
        </w:tabs>
        <w:ind w:left="2503" w:hanging="360"/>
      </w:pPr>
      <w:rPr>
        <w:rFonts w:ascii="Symbol" w:hAnsi="Symbol" w:hint="default"/>
      </w:rPr>
    </w:lvl>
    <w:lvl w:ilvl="4" w:tplc="04070003" w:tentative="1">
      <w:start w:val="1"/>
      <w:numFmt w:val="bullet"/>
      <w:lvlText w:val="o"/>
      <w:lvlJc w:val="left"/>
      <w:pPr>
        <w:tabs>
          <w:tab w:val="num" w:pos="3223"/>
        </w:tabs>
        <w:ind w:left="3223" w:hanging="360"/>
      </w:pPr>
      <w:rPr>
        <w:rFonts w:ascii="Courier New" w:hAnsi="Courier New" w:cs="Courier New" w:hint="default"/>
      </w:rPr>
    </w:lvl>
    <w:lvl w:ilvl="5" w:tplc="04070005" w:tentative="1">
      <w:start w:val="1"/>
      <w:numFmt w:val="bullet"/>
      <w:lvlText w:val=""/>
      <w:lvlJc w:val="left"/>
      <w:pPr>
        <w:tabs>
          <w:tab w:val="num" w:pos="3943"/>
        </w:tabs>
        <w:ind w:left="3943" w:hanging="360"/>
      </w:pPr>
      <w:rPr>
        <w:rFonts w:ascii="Wingdings" w:hAnsi="Wingdings" w:hint="default"/>
      </w:rPr>
    </w:lvl>
    <w:lvl w:ilvl="6" w:tplc="04070001" w:tentative="1">
      <w:start w:val="1"/>
      <w:numFmt w:val="bullet"/>
      <w:lvlText w:val=""/>
      <w:lvlJc w:val="left"/>
      <w:pPr>
        <w:tabs>
          <w:tab w:val="num" w:pos="4663"/>
        </w:tabs>
        <w:ind w:left="4663" w:hanging="360"/>
      </w:pPr>
      <w:rPr>
        <w:rFonts w:ascii="Symbol" w:hAnsi="Symbol" w:hint="default"/>
      </w:rPr>
    </w:lvl>
    <w:lvl w:ilvl="7" w:tplc="04070003" w:tentative="1">
      <w:start w:val="1"/>
      <w:numFmt w:val="bullet"/>
      <w:lvlText w:val="o"/>
      <w:lvlJc w:val="left"/>
      <w:pPr>
        <w:tabs>
          <w:tab w:val="num" w:pos="5383"/>
        </w:tabs>
        <w:ind w:left="5383" w:hanging="360"/>
      </w:pPr>
      <w:rPr>
        <w:rFonts w:ascii="Courier New" w:hAnsi="Courier New" w:cs="Courier New" w:hint="default"/>
      </w:rPr>
    </w:lvl>
    <w:lvl w:ilvl="8" w:tplc="04070005" w:tentative="1">
      <w:start w:val="1"/>
      <w:numFmt w:val="bullet"/>
      <w:lvlText w:val=""/>
      <w:lvlJc w:val="left"/>
      <w:pPr>
        <w:tabs>
          <w:tab w:val="num" w:pos="6103"/>
        </w:tabs>
        <w:ind w:left="6103" w:hanging="360"/>
      </w:pPr>
      <w:rPr>
        <w:rFonts w:ascii="Wingdings" w:hAnsi="Wingdings" w:hint="default"/>
      </w:rPr>
    </w:lvl>
  </w:abstractNum>
  <w:abstractNum w:abstractNumId="3" w15:restartNumberingAfterBreak="0">
    <w:nsid w:val="27A81A6E"/>
    <w:multiLevelType w:val="hybridMultilevel"/>
    <w:tmpl w:val="3B266914"/>
    <w:lvl w:ilvl="0" w:tplc="79FAE7A6">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F15ED"/>
    <w:multiLevelType w:val="hybridMultilevel"/>
    <w:tmpl w:val="D4601D72"/>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CE24EE4"/>
    <w:multiLevelType w:val="hybridMultilevel"/>
    <w:tmpl w:val="8162241E"/>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37571F8"/>
    <w:multiLevelType w:val="hybridMultilevel"/>
    <w:tmpl w:val="31B8E3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9CB01A7"/>
    <w:multiLevelType w:val="hybridMultilevel"/>
    <w:tmpl w:val="2098DCF0"/>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21B74A9"/>
    <w:multiLevelType w:val="hybridMultilevel"/>
    <w:tmpl w:val="B562F818"/>
    <w:lvl w:ilvl="0" w:tplc="14B81C8E">
      <w:numFmt w:val="bullet"/>
      <w:lvlText w:val="-"/>
      <w:lvlJc w:val="left"/>
      <w:pPr>
        <w:tabs>
          <w:tab w:val="num" w:pos="720"/>
        </w:tabs>
        <w:ind w:left="720" w:hanging="360"/>
      </w:pPr>
      <w:rPr>
        <w:rFonts w:ascii="Times New Roman" w:eastAsia="Times New Roman" w:hAnsi="Times New Roman" w:cs="Times New Roman" w:hint="default"/>
        <w:b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640D8"/>
    <w:multiLevelType w:val="hybridMultilevel"/>
    <w:tmpl w:val="AE5A5E96"/>
    <w:lvl w:ilvl="0" w:tplc="768081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66352C"/>
    <w:multiLevelType w:val="hybridMultilevel"/>
    <w:tmpl w:val="A14EBEE6"/>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219704F"/>
    <w:multiLevelType w:val="hybridMultilevel"/>
    <w:tmpl w:val="8DF8D532"/>
    <w:lvl w:ilvl="0" w:tplc="79FAE7A6">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068"/>
        </w:tabs>
        <w:ind w:left="1068" w:hanging="360"/>
      </w:pPr>
      <w:rPr>
        <w:rFonts w:ascii="Courier New" w:hAnsi="Courier New" w:cs="Courier New" w:hint="default"/>
      </w:rPr>
    </w:lvl>
    <w:lvl w:ilvl="2" w:tplc="04070005" w:tentative="1">
      <w:start w:val="1"/>
      <w:numFmt w:val="bullet"/>
      <w:lvlText w:val=""/>
      <w:lvlJc w:val="left"/>
      <w:pPr>
        <w:tabs>
          <w:tab w:val="num" w:pos="1788"/>
        </w:tabs>
        <w:ind w:left="1788" w:hanging="360"/>
      </w:pPr>
      <w:rPr>
        <w:rFonts w:ascii="Wingdings" w:hAnsi="Wingdings" w:hint="default"/>
      </w:rPr>
    </w:lvl>
    <w:lvl w:ilvl="3" w:tplc="04070001" w:tentative="1">
      <w:start w:val="1"/>
      <w:numFmt w:val="bullet"/>
      <w:lvlText w:val=""/>
      <w:lvlJc w:val="left"/>
      <w:pPr>
        <w:tabs>
          <w:tab w:val="num" w:pos="2508"/>
        </w:tabs>
        <w:ind w:left="2508" w:hanging="360"/>
      </w:pPr>
      <w:rPr>
        <w:rFonts w:ascii="Symbol" w:hAnsi="Symbol" w:hint="default"/>
      </w:rPr>
    </w:lvl>
    <w:lvl w:ilvl="4" w:tplc="04070003" w:tentative="1">
      <w:start w:val="1"/>
      <w:numFmt w:val="bullet"/>
      <w:lvlText w:val="o"/>
      <w:lvlJc w:val="left"/>
      <w:pPr>
        <w:tabs>
          <w:tab w:val="num" w:pos="3228"/>
        </w:tabs>
        <w:ind w:left="3228" w:hanging="360"/>
      </w:pPr>
      <w:rPr>
        <w:rFonts w:ascii="Courier New" w:hAnsi="Courier New" w:cs="Courier New" w:hint="default"/>
      </w:rPr>
    </w:lvl>
    <w:lvl w:ilvl="5" w:tplc="04070005" w:tentative="1">
      <w:start w:val="1"/>
      <w:numFmt w:val="bullet"/>
      <w:lvlText w:val=""/>
      <w:lvlJc w:val="left"/>
      <w:pPr>
        <w:tabs>
          <w:tab w:val="num" w:pos="3948"/>
        </w:tabs>
        <w:ind w:left="3948" w:hanging="360"/>
      </w:pPr>
      <w:rPr>
        <w:rFonts w:ascii="Wingdings" w:hAnsi="Wingdings" w:hint="default"/>
      </w:rPr>
    </w:lvl>
    <w:lvl w:ilvl="6" w:tplc="04070001" w:tentative="1">
      <w:start w:val="1"/>
      <w:numFmt w:val="bullet"/>
      <w:lvlText w:val=""/>
      <w:lvlJc w:val="left"/>
      <w:pPr>
        <w:tabs>
          <w:tab w:val="num" w:pos="4668"/>
        </w:tabs>
        <w:ind w:left="4668" w:hanging="360"/>
      </w:pPr>
      <w:rPr>
        <w:rFonts w:ascii="Symbol" w:hAnsi="Symbol" w:hint="default"/>
      </w:rPr>
    </w:lvl>
    <w:lvl w:ilvl="7" w:tplc="04070003" w:tentative="1">
      <w:start w:val="1"/>
      <w:numFmt w:val="bullet"/>
      <w:lvlText w:val="o"/>
      <w:lvlJc w:val="left"/>
      <w:pPr>
        <w:tabs>
          <w:tab w:val="num" w:pos="5388"/>
        </w:tabs>
        <w:ind w:left="5388" w:hanging="360"/>
      </w:pPr>
      <w:rPr>
        <w:rFonts w:ascii="Courier New" w:hAnsi="Courier New" w:cs="Courier New" w:hint="default"/>
      </w:rPr>
    </w:lvl>
    <w:lvl w:ilvl="8" w:tplc="04070005" w:tentative="1">
      <w:start w:val="1"/>
      <w:numFmt w:val="bullet"/>
      <w:lvlText w:val=""/>
      <w:lvlJc w:val="left"/>
      <w:pPr>
        <w:tabs>
          <w:tab w:val="num" w:pos="6108"/>
        </w:tabs>
        <w:ind w:left="6108" w:hanging="360"/>
      </w:pPr>
      <w:rPr>
        <w:rFonts w:ascii="Wingdings" w:hAnsi="Wingdings" w:hint="default"/>
      </w:rPr>
    </w:lvl>
  </w:abstractNum>
  <w:abstractNum w:abstractNumId="12" w15:restartNumberingAfterBreak="0">
    <w:nsid w:val="7850616F"/>
    <w:multiLevelType w:val="hybridMultilevel"/>
    <w:tmpl w:val="6D8033C4"/>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655113007">
    <w:abstractNumId w:val="0"/>
  </w:num>
  <w:num w:numId="2" w16cid:durableId="697854192">
    <w:abstractNumId w:val="8"/>
  </w:num>
  <w:num w:numId="3" w16cid:durableId="95366275">
    <w:abstractNumId w:val="6"/>
  </w:num>
  <w:num w:numId="4" w16cid:durableId="1454205592">
    <w:abstractNumId w:val="7"/>
  </w:num>
  <w:num w:numId="5" w16cid:durableId="521893613">
    <w:abstractNumId w:val="5"/>
  </w:num>
  <w:num w:numId="6" w16cid:durableId="971205028">
    <w:abstractNumId w:val="12"/>
  </w:num>
  <w:num w:numId="7" w16cid:durableId="163906091">
    <w:abstractNumId w:val="4"/>
  </w:num>
  <w:num w:numId="8" w16cid:durableId="1448352279">
    <w:abstractNumId w:val="10"/>
  </w:num>
  <w:num w:numId="9" w16cid:durableId="656347376">
    <w:abstractNumId w:val="2"/>
  </w:num>
  <w:num w:numId="10" w16cid:durableId="1793328072">
    <w:abstractNumId w:val="1"/>
  </w:num>
  <w:num w:numId="11" w16cid:durableId="773212922">
    <w:abstractNumId w:val="11"/>
  </w:num>
  <w:num w:numId="12" w16cid:durableId="800609949">
    <w:abstractNumId w:val="3"/>
  </w:num>
  <w:num w:numId="13" w16cid:durableId="3728534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nutzer»" w:val="la"/>
    <w:docVar w:name="AutomatischSpeichern" w:val="0"/>
    <w:docVar w:name="betnr" w:val="0"/>
    <w:docVar w:name="database" w:val="LINNEMANN"/>
    <w:docVar w:name="history" w:val="Anhang: AG 15 Vergleich im Rechtsstreit.doc - Version vom 10.05.2022"/>
    <w:docVar w:name="modified" w:val="1"/>
    <w:docVar w:name="nr" w:val="2008000155"/>
    <w:docVar w:name="speichern" w:val="ja"/>
    <w:docVar w:name="Status" w:val="nein"/>
  </w:docVars>
  <w:rsids>
    <w:rsidRoot w:val="00CC7A87"/>
    <w:rsid w:val="00175EBE"/>
    <w:rsid w:val="002A7DB9"/>
    <w:rsid w:val="00426A3D"/>
    <w:rsid w:val="00426B07"/>
    <w:rsid w:val="004563F7"/>
    <w:rsid w:val="00470154"/>
    <w:rsid w:val="00610E58"/>
    <w:rsid w:val="00701143"/>
    <w:rsid w:val="0090198B"/>
    <w:rsid w:val="009A7916"/>
    <w:rsid w:val="00A20669"/>
    <w:rsid w:val="00B0533F"/>
    <w:rsid w:val="00B16A5B"/>
    <w:rsid w:val="00B809E3"/>
    <w:rsid w:val="00C224FE"/>
    <w:rsid w:val="00C65A09"/>
    <w:rsid w:val="00CC7A87"/>
    <w:rsid w:val="00D76D80"/>
    <w:rsid w:val="00E4779A"/>
    <w:rsid w:val="00E75100"/>
    <w:rsid w:val="00EB0555"/>
    <w:rsid w:val="00EF5160"/>
    <w:rsid w:val="00F527DB"/>
    <w:rsid w:val="00F63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6F190"/>
  <w15:chartTrackingRefBased/>
  <w15:docId w15:val="{41847E0D-F2B2-4AC5-B4EB-F070F3BD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120" w:after="576"/>
      <w:outlineLvl w:val="0"/>
    </w:pPr>
    <w:rPr>
      <w:b/>
      <w:bCs/>
      <w:spacing w:val="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spacing w:before="120" w:after="72"/>
      <w:ind w:left="432" w:right="288"/>
    </w:pPr>
  </w:style>
  <w:style w:type="paragraph" w:styleId="Textkrper-Zeileneinzug">
    <w:name w:val="Body Text Indent"/>
    <w:basedOn w:val="Standard"/>
    <w:semiHidden/>
    <w:pPr>
      <w:spacing w:before="120"/>
      <w:ind w:left="432" w:hanging="432"/>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9A7916"/>
    <w:rPr>
      <w:rFonts w:ascii="Segoe UI" w:hAnsi="Segoe UI" w:cs="Segoe UI"/>
      <w:sz w:val="18"/>
      <w:szCs w:val="18"/>
    </w:rPr>
  </w:style>
  <w:style w:type="character" w:customStyle="1" w:styleId="SprechblasentextZchn">
    <w:name w:val="Sprechblasentext Zchn"/>
    <w:link w:val="Sprechblasentext"/>
    <w:uiPriority w:val="99"/>
    <w:semiHidden/>
    <w:rsid w:val="009A79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AG 15 Vergleich im Rechtsstreit - Stand 10.05.2022.doc</vt:lpstr>
    </vt:vector>
  </TitlesOfParts>
  <Company>KV Aue/Stollberg</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 15 Vergleich im Rechtsstreit - Stand 10.05.2022.doc</dc:title>
  <dc:subject/>
  <dc:creator>Sigritta Franke</dc:creator>
  <cp:keywords>2008000155</cp:keywords>
  <dc:description/>
  <cp:lastModifiedBy>Gisela Ringel</cp:lastModifiedBy>
  <cp:revision>2</cp:revision>
  <cp:lastPrinted>2022-09-05T11:22:00Z</cp:lastPrinted>
  <dcterms:created xsi:type="dcterms:W3CDTF">2022-09-05T11:45:00Z</dcterms:created>
  <dcterms:modified xsi:type="dcterms:W3CDTF">2022-09-05T11:45:00Z</dcterms:modified>
</cp:coreProperties>
</file>